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AB56E" w14:textId="77777777" w:rsidR="005C4B80" w:rsidRPr="00E52E86" w:rsidRDefault="005C4B80" w:rsidP="005C4B80">
      <w:pPr>
        <w:rPr>
          <w:rFonts w:cs="Arial"/>
        </w:rPr>
      </w:pPr>
    </w:p>
    <w:p w14:paraId="0E2DA20C" w14:textId="77777777" w:rsidR="00592470" w:rsidRDefault="00592470" w:rsidP="00E52E86">
      <w:pPr>
        <w:rPr>
          <w:rFonts w:cs="Arial"/>
        </w:rPr>
      </w:pPr>
    </w:p>
    <w:p w14:paraId="715F3691" w14:textId="4F795E18" w:rsidR="005C4B80" w:rsidRPr="00E52E86" w:rsidRDefault="00592470" w:rsidP="00E52E86">
      <w:pPr>
        <w:rPr>
          <w:rFonts w:cs="Arial"/>
        </w:rPr>
      </w:pPr>
      <w:r>
        <w:rPr>
          <w:rFonts w:cs="Arial"/>
        </w:rPr>
        <w:t xml:space="preserve">08 August </w:t>
      </w:r>
      <w:r w:rsidR="004A30E7">
        <w:rPr>
          <w:rFonts w:cs="Arial"/>
        </w:rPr>
        <w:t>202</w:t>
      </w:r>
      <w:r>
        <w:rPr>
          <w:rFonts w:cs="Arial"/>
        </w:rPr>
        <w:t>3</w:t>
      </w:r>
    </w:p>
    <w:p w14:paraId="6CBD5162" w14:textId="77777777" w:rsidR="005C4B80" w:rsidRPr="00E52E86" w:rsidRDefault="005C4B80" w:rsidP="005C4B80">
      <w:pPr>
        <w:rPr>
          <w:rFonts w:cs="Arial"/>
        </w:rPr>
      </w:pPr>
    </w:p>
    <w:p w14:paraId="227DF56A" w14:textId="1B74BB11" w:rsidR="005C4B80" w:rsidRPr="00E52E86" w:rsidRDefault="005C4B80" w:rsidP="00455447">
      <w:pPr>
        <w:rPr>
          <w:rFonts w:cs="Arial"/>
        </w:rPr>
      </w:pPr>
      <w:r w:rsidRPr="00E52E86">
        <w:rPr>
          <w:rFonts w:cs="Arial"/>
        </w:rPr>
        <w:t>To:</w:t>
      </w:r>
      <w:r w:rsidRPr="00E52E86">
        <w:rPr>
          <w:rFonts w:cs="Arial"/>
        </w:rPr>
        <w:tab/>
      </w:r>
      <w:r w:rsidR="000825B9">
        <w:rPr>
          <w:rFonts w:cs="Arial"/>
        </w:rPr>
        <w:t>Principals and Chair</w:t>
      </w:r>
      <w:r w:rsidRPr="00E52E86">
        <w:rPr>
          <w:rFonts w:cs="Arial"/>
        </w:rPr>
        <w:t>s of Governing Bodies of Colleges of Further Education</w:t>
      </w:r>
    </w:p>
    <w:p w14:paraId="553CB57A" w14:textId="77777777" w:rsidR="005C4B80" w:rsidRPr="00E52E86" w:rsidRDefault="005C4B80" w:rsidP="005C4B80">
      <w:pPr>
        <w:ind w:firstLine="720"/>
        <w:rPr>
          <w:rFonts w:cs="Arial"/>
        </w:rPr>
      </w:pPr>
      <w:r w:rsidRPr="00E52E86">
        <w:rPr>
          <w:rFonts w:cs="Arial"/>
        </w:rPr>
        <w:t>HR Managers of Colleges of Further Education</w:t>
      </w:r>
    </w:p>
    <w:p w14:paraId="150AFE96" w14:textId="77777777" w:rsidR="005C4B80" w:rsidRDefault="005C4B80" w:rsidP="005C4B80">
      <w:pPr>
        <w:ind w:firstLine="720"/>
        <w:rPr>
          <w:rFonts w:cs="Arial"/>
        </w:rPr>
      </w:pPr>
      <w:r w:rsidRPr="00E52E86">
        <w:rPr>
          <w:rFonts w:cs="Arial"/>
        </w:rPr>
        <w:t xml:space="preserve">Department for </w:t>
      </w:r>
      <w:r w:rsidR="002544CA">
        <w:rPr>
          <w:rFonts w:cs="Arial"/>
        </w:rPr>
        <w:t>the Economy</w:t>
      </w:r>
    </w:p>
    <w:p w14:paraId="61D57E3B" w14:textId="77777777" w:rsidR="002718A9" w:rsidRPr="00E52E86" w:rsidRDefault="002718A9" w:rsidP="005C4B80">
      <w:pPr>
        <w:ind w:firstLine="720"/>
        <w:rPr>
          <w:rFonts w:cs="Arial"/>
        </w:rPr>
      </w:pPr>
      <w:r>
        <w:rPr>
          <w:rFonts w:cs="Arial"/>
        </w:rPr>
        <w:t>DE Pensions Branch</w:t>
      </w:r>
    </w:p>
    <w:p w14:paraId="5658910C" w14:textId="77777777" w:rsidR="005C4B80" w:rsidRPr="00E52E86" w:rsidRDefault="005C4B80" w:rsidP="005C4B80">
      <w:pPr>
        <w:ind w:firstLine="720"/>
        <w:rPr>
          <w:rFonts w:cs="Arial"/>
        </w:rPr>
      </w:pPr>
      <w:r w:rsidRPr="00E52E86">
        <w:rPr>
          <w:rFonts w:cs="Arial"/>
        </w:rPr>
        <w:t>UCU</w:t>
      </w:r>
    </w:p>
    <w:p w14:paraId="1EC15D9E" w14:textId="77777777" w:rsidR="005C4B80" w:rsidRDefault="005C4B80" w:rsidP="005C4B80">
      <w:pPr>
        <w:ind w:firstLine="720"/>
        <w:rPr>
          <w:rFonts w:cs="Arial"/>
        </w:rPr>
      </w:pPr>
      <w:r w:rsidRPr="00E52E86">
        <w:rPr>
          <w:rFonts w:cs="Arial"/>
        </w:rPr>
        <w:t>NASUWT</w:t>
      </w:r>
    </w:p>
    <w:p w14:paraId="7B312B38" w14:textId="77777777" w:rsidR="002718A9" w:rsidRPr="00E52E86" w:rsidRDefault="002718A9" w:rsidP="005C4B80">
      <w:pPr>
        <w:ind w:firstLine="720"/>
        <w:rPr>
          <w:rFonts w:cs="Arial"/>
        </w:rPr>
      </w:pPr>
    </w:p>
    <w:p w14:paraId="285405B9" w14:textId="77777777" w:rsidR="005C4B80" w:rsidRPr="00E52E86" w:rsidRDefault="005C4B80" w:rsidP="005C4B80">
      <w:pPr>
        <w:rPr>
          <w:rFonts w:cs="Arial"/>
        </w:rPr>
      </w:pPr>
    </w:p>
    <w:p w14:paraId="65D7B09F" w14:textId="77777777" w:rsidR="005C4B80" w:rsidRPr="00E52E86" w:rsidRDefault="005C4B80" w:rsidP="005C4B80">
      <w:pPr>
        <w:rPr>
          <w:rFonts w:cs="Arial"/>
          <w:b/>
        </w:rPr>
      </w:pPr>
    </w:p>
    <w:p w14:paraId="1E9FC338" w14:textId="312B76B9" w:rsidR="005C4B80" w:rsidRPr="00E52E86" w:rsidRDefault="005C4B80" w:rsidP="005C4B80">
      <w:pPr>
        <w:rPr>
          <w:rFonts w:cs="Arial"/>
          <w:b/>
        </w:rPr>
      </w:pPr>
      <w:r w:rsidRPr="00E52E86">
        <w:rPr>
          <w:rFonts w:cs="Arial"/>
          <w:b/>
        </w:rPr>
        <w:t xml:space="preserve">Further Education Lecturers’ Pay </w:t>
      </w:r>
      <w:r w:rsidR="00D20323" w:rsidRPr="00E52E86">
        <w:rPr>
          <w:rFonts w:cs="Arial"/>
          <w:b/>
        </w:rPr>
        <w:t>f</w:t>
      </w:r>
      <w:r w:rsidRPr="00E52E86">
        <w:rPr>
          <w:rFonts w:cs="Arial"/>
          <w:b/>
        </w:rPr>
        <w:t>rom 1 September 20</w:t>
      </w:r>
      <w:r w:rsidR="00F55BF5">
        <w:rPr>
          <w:rFonts w:cs="Arial"/>
          <w:b/>
        </w:rPr>
        <w:t>21</w:t>
      </w:r>
      <w:r w:rsidR="002544CA">
        <w:rPr>
          <w:rFonts w:cs="Arial"/>
          <w:b/>
        </w:rPr>
        <w:t xml:space="preserve"> and 01 September 20</w:t>
      </w:r>
      <w:r w:rsidR="004A30E7">
        <w:rPr>
          <w:rFonts w:cs="Arial"/>
          <w:b/>
        </w:rPr>
        <w:t>2</w:t>
      </w:r>
      <w:r w:rsidR="00F55BF5">
        <w:rPr>
          <w:rFonts w:cs="Arial"/>
          <w:b/>
        </w:rPr>
        <w:t>2</w:t>
      </w:r>
    </w:p>
    <w:p w14:paraId="054DD0DB" w14:textId="77777777" w:rsidR="00592470" w:rsidRDefault="00592470" w:rsidP="00AE7789">
      <w:pPr>
        <w:rPr>
          <w:rFonts w:cs="Arial"/>
          <w:b/>
        </w:rPr>
      </w:pPr>
    </w:p>
    <w:p w14:paraId="0E7BA1E7" w14:textId="7E1BA31F" w:rsidR="00AB39B2" w:rsidRPr="00E52E86" w:rsidRDefault="00F55BF5" w:rsidP="00AE7789">
      <w:pPr>
        <w:rPr>
          <w:rFonts w:cs="Arial"/>
        </w:rPr>
      </w:pPr>
      <w:r>
        <w:rPr>
          <w:rFonts w:cs="Arial"/>
        </w:rPr>
        <w:t>T</w:t>
      </w:r>
      <w:r w:rsidR="00AB39B2" w:rsidRPr="00E52E86">
        <w:rPr>
          <w:rFonts w:cs="Arial"/>
        </w:rPr>
        <w:t>he rates of salaries and allowances to be p</w:t>
      </w:r>
      <w:r w:rsidR="005C4B80" w:rsidRPr="00E52E86">
        <w:rPr>
          <w:rFonts w:cs="Arial"/>
        </w:rPr>
        <w:t>aid to Lecturers in Colleges</w:t>
      </w:r>
      <w:r w:rsidR="00AB39B2" w:rsidRPr="00E52E86">
        <w:rPr>
          <w:rFonts w:cs="Arial"/>
        </w:rPr>
        <w:t xml:space="preserve"> of Furthe</w:t>
      </w:r>
      <w:r w:rsidR="00F43C9A" w:rsidRPr="00E52E86">
        <w:rPr>
          <w:rFonts w:cs="Arial"/>
        </w:rPr>
        <w:t>r Education shall</w:t>
      </w:r>
      <w:r w:rsidR="008E1F32" w:rsidRPr="00E52E86">
        <w:rPr>
          <w:rFonts w:cs="Arial"/>
        </w:rPr>
        <w:t xml:space="preserve"> </w:t>
      </w:r>
      <w:r w:rsidR="00AB39B2" w:rsidRPr="00E52E86">
        <w:rPr>
          <w:rFonts w:cs="Arial"/>
        </w:rPr>
        <w:t>be those set out in the Appendix 1.</w:t>
      </w:r>
    </w:p>
    <w:p w14:paraId="37FEE579" w14:textId="77777777" w:rsidR="00AB39B2" w:rsidRPr="00E52E86" w:rsidRDefault="00AB39B2" w:rsidP="00AE7789">
      <w:pPr>
        <w:rPr>
          <w:rFonts w:cs="Arial"/>
        </w:rPr>
      </w:pPr>
    </w:p>
    <w:p w14:paraId="48B62288" w14:textId="77777777" w:rsidR="00AB39B2" w:rsidRPr="00E52E86" w:rsidRDefault="00AB39B2" w:rsidP="00AE7789">
      <w:pPr>
        <w:rPr>
          <w:rFonts w:cs="Arial"/>
        </w:rPr>
      </w:pPr>
      <w:r w:rsidRPr="00E52E86">
        <w:rPr>
          <w:rFonts w:cs="Arial"/>
          <w:u w:val="single"/>
        </w:rPr>
        <w:t>Summary of Changes:</w:t>
      </w:r>
    </w:p>
    <w:p w14:paraId="0E579181" w14:textId="77777777" w:rsidR="00AB39B2" w:rsidRPr="00E52E86" w:rsidRDefault="00AB39B2" w:rsidP="00AE7789">
      <w:pPr>
        <w:rPr>
          <w:rFonts w:cs="Arial"/>
        </w:rPr>
      </w:pPr>
    </w:p>
    <w:p w14:paraId="76D76FAE" w14:textId="51580CC0" w:rsidR="002544CA" w:rsidRDefault="00C11FB7" w:rsidP="002544CA">
      <w:pPr>
        <w:numPr>
          <w:ilvl w:val="0"/>
          <w:numId w:val="13"/>
        </w:numPr>
      </w:pPr>
      <w:r>
        <w:t>1</w:t>
      </w:r>
      <w:r w:rsidR="004A30E7">
        <w:t>.0</w:t>
      </w:r>
      <w:r w:rsidR="002544CA">
        <w:t>% increase in salary rates (including allowances i.e. Threshold, Dean, Responsibility and Re-organisation) from 1 September 20</w:t>
      </w:r>
      <w:r>
        <w:t>21</w:t>
      </w:r>
      <w:r w:rsidR="002544CA">
        <w:t>.</w:t>
      </w:r>
    </w:p>
    <w:p w14:paraId="41E45302" w14:textId="20C59F6C" w:rsidR="002544CA" w:rsidRPr="002544CA" w:rsidRDefault="002544CA" w:rsidP="002544CA">
      <w:pPr>
        <w:ind w:left="720"/>
        <w:rPr>
          <w:rFonts w:eastAsia="Calibri"/>
        </w:rPr>
      </w:pPr>
      <w:r>
        <w:t xml:space="preserve">relating to Lecturer’s Contract of Employment (i.e. Associate Lecturers, Full-Time Lecturers, Principal Lecturers’ and Heads of Department) </w:t>
      </w:r>
      <w:r w:rsidR="00E46E1E">
        <w:t xml:space="preserve">and </w:t>
      </w:r>
      <w:r w:rsidR="000A1124">
        <w:t>Part-time Hourly Paid Lecturers</w:t>
      </w:r>
      <w:r w:rsidR="00350A39">
        <w:t>.</w:t>
      </w:r>
    </w:p>
    <w:p w14:paraId="6F5143AC" w14:textId="77777777" w:rsidR="002544CA" w:rsidRDefault="002544CA" w:rsidP="002544CA">
      <w:pPr>
        <w:ind w:left="720"/>
      </w:pPr>
    </w:p>
    <w:p w14:paraId="1B9E166C" w14:textId="3A5B0055" w:rsidR="002544CA" w:rsidRDefault="00C11FB7" w:rsidP="002544CA">
      <w:pPr>
        <w:pStyle w:val="ListParagraph"/>
        <w:numPr>
          <w:ilvl w:val="0"/>
          <w:numId w:val="13"/>
        </w:numPr>
      </w:pPr>
      <w:r>
        <w:t>1</w:t>
      </w:r>
      <w:r w:rsidR="002544CA">
        <w:t>.0% increase in salary rates (including allowances i.e. Threshold, Dean, Responsibility and Re-organisation) from 01 September 20</w:t>
      </w:r>
      <w:r w:rsidR="004A30E7">
        <w:t>2</w:t>
      </w:r>
      <w:r>
        <w:t>2</w:t>
      </w:r>
      <w:r w:rsidR="002544CA">
        <w:t xml:space="preserve"> relating to Lecturer’s Contract of Employment (i.e. Associate Lecturers, Full-Time Lecturers, Principal Lecturers’ and Heads of Department) </w:t>
      </w:r>
      <w:r w:rsidR="00B3753F">
        <w:t xml:space="preserve">and </w:t>
      </w:r>
      <w:r w:rsidR="000A1124">
        <w:t>Part-time Hourly Paid Lecturers.</w:t>
      </w:r>
    </w:p>
    <w:p w14:paraId="3796C6A8" w14:textId="77777777" w:rsidR="00592470" w:rsidRDefault="00592470" w:rsidP="00592470">
      <w:pPr>
        <w:pStyle w:val="ListParagraph"/>
      </w:pPr>
    </w:p>
    <w:p w14:paraId="4BD0E7ED" w14:textId="1B66E355" w:rsidR="00592470" w:rsidRPr="00592470" w:rsidRDefault="00592470" w:rsidP="00592470">
      <w:pPr>
        <w:pStyle w:val="ListParagraph"/>
        <w:numPr>
          <w:ilvl w:val="0"/>
          <w:numId w:val="13"/>
        </w:numPr>
        <w:spacing w:line="276" w:lineRule="auto"/>
        <w:contextualSpacing/>
      </w:pPr>
      <w:r w:rsidRPr="00592470">
        <w:t xml:space="preserve">Non-consolidated </w:t>
      </w:r>
      <w:r>
        <w:t xml:space="preserve">payment </w:t>
      </w:r>
      <w:r w:rsidRPr="00592470">
        <w:t>totalling £8m to those members of staff employed outside NJC terms and conditions during the period 1 September 2021 - 31 August 2022 (calculated at £3,000</w:t>
      </w:r>
      <w:r>
        <w:t xml:space="preserve"> gross</w:t>
      </w:r>
      <w:r w:rsidRPr="00592470">
        <w:t xml:space="preserve"> </w:t>
      </w:r>
      <w:r>
        <w:t xml:space="preserve">subject to normal tax and NI deductions </w:t>
      </w:r>
      <w:r w:rsidRPr="00592470">
        <w:t>per Full Time Equivalent, Part Time Lecturers will be paid on a pro rata basis)</w:t>
      </w:r>
    </w:p>
    <w:p w14:paraId="06E16442" w14:textId="77777777" w:rsidR="00592470" w:rsidRDefault="00592470" w:rsidP="00592470">
      <w:pPr>
        <w:pStyle w:val="ListParagraph"/>
      </w:pPr>
    </w:p>
    <w:p w14:paraId="3C27C027" w14:textId="77777777" w:rsidR="004A30E7" w:rsidRPr="00E52E86" w:rsidRDefault="004A30E7" w:rsidP="00AE7789">
      <w:pPr>
        <w:rPr>
          <w:rFonts w:cs="Arial"/>
          <w:bCs/>
        </w:rPr>
      </w:pPr>
    </w:p>
    <w:p w14:paraId="5C0360FF" w14:textId="77777777" w:rsidR="002544CA" w:rsidRDefault="002544CA" w:rsidP="00AE7789">
      <w:pPr>
        <w:rPr>
          <w:rFonts w:cs="Arial"/>
          <w:b/>
        </w:rPr>
      </w:pPr>
    </w:p>
    <w:p w14:paraId="08AD05C2" w14:textId="05201388" w:rsidR="00F47BD7" w:rsidRDefault="004A30E7" w:rsidP="00AE7789">
      <w:pPr>
        <w:rPr>
          <w:rFonts w:cs="Arial"/>
          <w:b/>
        </w:rPr>
      </w:pPr>
      <w:r>
        <w:rPr>
          <w:rFonts w:cs="Arial"/>
          <w:b/>
        </w:rPr>
        <w:t>Dr Nicholas O’Shiel</w:t>
      </w:r>
    </w:p>
    <w:p w14:paraId="3A9A015A" w14:textId="5881A57C" w:rsidR="00785245" w:rsidRDefault="00785245" w:rsidP="00AE7789">
      <w:pPr>
        <w:rPr>
          <w:noProof/>
          <w:sz w:val="22"/>
          <w:szCs w:val="22"/>
        </w:rPr>
      </w:pPr>
    </w:p>
    <w:p w14:paraId="70EDC919" w14:textId="2B4DD62C" w:rsidR="00350A39" w:rsidRDefault="001C3D5E" w:rsidP="00AE7789">
      <w:pPr>
        <w:rPr>
          <w:rFonts w:cs="Arial"/>
          <w:b/>
        </w:rPr>
      </w:pPr>
      <w:r>
        <w:rPr>
          <w:b/>
          <w:noProof/>
        </w:rPr>
        <w:drawing>
          <wp:inline distT="0" distB="0" distL="0" distR="0" wp14:anchorId="641E1B71" wp14:editId="720FA680">
            <wp:extent cx="1562100" cy="733425"/>
            <wp:effectExtent l="0" t="0" r="0" b="0"/>
            <wp:docPr id="2" name="Picture 2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signatur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923A80" w14:textId="77777777" w:rsidR="006A70AA" w:rsidRPr="00B40C61" w:rsidRDefault="006A70AA" w:rsidP="00AE7789">
      <w:pPr>
        <w:rPr>
          <w:rFonts w:cs="Arial"/>
          <w:b/>
        </w:rPr>
      </w:pPr>
    </w:p>
    <w:p w14:paraId="70C2A543" w14:textId="77777777" w:rsidR="00AB39B2" w:rsidRPr="00E52E86" w:rsidRDefault="00B40C61" w:rsidP="00AE7789">
      <w:pPr>
        <w:rPr>
          <w:rFonts w:cs="Arial"/>
          <w:b/>
        </w:rPr>
      </w:pPr>
      <w:r>
        <w:rPr>
          <w:rFonts w:cs="Arial"/>
          <w:b/>
        </w:rPr>
        <w:t>Chair</w:t>
      </w:r>
    </w:p>
    <w:p w14:paraId="764AE79C" w14:textId="77777777" w:rsidR="00AB39B2" w:rsidRPr="00E52E86" w:rsidRDefault="00AB39B2" w:rsidP="00AE7789">
      <w:pPr>
        <w:rPr>
          <w:rFonts w:cs="Arial"/>
          <w:b/>
        </w:rPr>
      </w:pPr>
      <w:r w:rsidRPr="00E52E86">
        <w:rPr>
          <w:rFonts w:cs="Arial"/>
          <w:b/>
        </w:rPr>
        <w:t>College Employers’ Forum</w:t>
      </w:r>
    </w:p>
    <w:p w14:paraId="32A437A5" w14:textId="77777777" w:rsidR="00AB39B2" w:rsidRPr="00E52E86" w:rsidRDefault="00AB39B2" w:rsidP="00AE7789">
      <w:pPr>
        <w:rPr>
          <w:rFonts w:cs="Arial"/>
        </w:rPr>
      </w:pPr>
    </w:p>
    <w:p w14:paraId="60F7850A" w14:textId="60B46F56" w:rsidR="00AB39B2" w:rsidRDefault="00AB39B2" w:rsidP="00AE7789">
      <w:pPr>
        <w:rPr>
          <w:rFonts w:cs="Arial"/>
        </w:rPr>
      </w:pPr>
    </w:p>
    <w:p w14:paraId="72E73BD3" w14:textId="77777777" w:rsidR="00C11FB7" w:rsidRDefault="00C11FB7" w:rsidP="00AE7789">
      <w:pPr>
        <w:rPr>
          <w:rFonts w:cs="Arial"/>
        </w:rPr>
      </w:pPr>
    </w:p>
    <w:p w14:paraId="0DE4D172" w14:textId="77777777" w:rsidR="00C11FB7" w:rsidRDefault="00C11FB7" w:rsidP="00AE7789">
      <w:pPr>
        <w:rPr>
          <w:rFonts w:cs="Arial"/>
        </w:rPr>
      </w:pPr>
    </w:p>
    <w:p w14:paraId="277D53CD" w14:textId="77777777" w:rsidR="00C11FB7" w:rsidRDefault="00C11FB7" w:rsidP="00AE7789">
      <w:pPr>
        <w:rPr>
          <w:rFonts w:cs="Arial"/>
        </w:rPr>
      </w:pPr>
    </w:p>
    <w:p w14:paraId="2A5E6CA9" w14:textId="77777777" w:rsidR="00C11FB7" w:rsidRDefault="00C11FB7" w:rsidP="00AE7789">
      <w:pPr>
        <w:rPr>
          <w:rFonts w:cs="Arial"/>
        </w:rPr>
      </w:pPr>
    </w:p>
    <w:p w14:paraId="04A68B27" w14:textId="77777777" w:rsidR="00AA20FB" w:rsidRDefault="00603C21" w:rsidP="00603C21">
      <w:pPr>
        <w:ind w:left="8640" w:hanging="720"/>
        <w:jc w:val="both"/>
      </w:pPr>
      <w:r>
        <w:t xml:space="preserve">APPENDIX </w:t>
      </w:r>
      <w:r w:rsidR="008D633A">
        <w:t>1</w:t>
      </w:r>
    </w:p>
    <w:p w14:paraId="0434FA03" w14:textId="77777777" w:rsidR="00AA20FB" w:rsidRDefault="00AA20FB" w:rsidP="008D633A">
      <w:pPr>
        <w:numPr>
          <w:ilvl w:val="0"/>
          <w:numId w:val="4"/>
        </w:numPr>
        <w:tabs>
          <w:tab w:val="clear" w:pos="1080"/>
        </w:tabs>
        <w:ind w:left="709"/>
        <w:rPr>
          <w:rFonts w:cs="Arial"/>
          <w:b/>
        </w:rPr>
      </w:pPr>
      <w:r>
        <w:rPr>
          <w:rFonts w:cs="Arial"/>
          <w:b/>
        </w:rPr>
        <w:t>Lecturers</w:t>
      </w:r>
    </w:p>
    <w:p w14:paraId="7F680A52" w14:textId="77777777" w:rsidR="00AA20FB" w:rsidRDefault="00AA20FB" w:rsidP="00AA20FB">
      <w:pPr>
        <w:rPr>
          <w:rFonts w:cs="Arial"/>
          <w:b/>
        </w:rPr>
      </w:pPr>
    </w:p>
    <w:p w14:paraId="5560E5B2" w14:textId="77777777" w:rsidR="00AA20FB" w:rsidRDefault="00AA20FB" w:rsidP="00AA20FB"/>
    <w:tbl>
      <w:tblPr>
        <w:tblW w:w="8519" w:type="dxa"/>
        <w:tblInd w:w="118" w:type="dxa"/>
        <w:tblLook w:val="04A0" w:firstRow="1" w:lastRow="0" w:firstColumn="1" w:lastColumn="0" w:noHBand="0" w:noVBand="1"/>
      </w:tblPr>
      <w:tblGrid>
        <w:gridCol w:w="1470"/>
        <w:gridCol w:w="1096"/>
        <w:gridCol w:w="1275"/>
        <w:gridCol w:w="1276"/>
        <w:gridCol w:w="1134"/>
        <w:gridCol w:w="1134"/>
        <w:gridCol w:w="1134"/>
      </w:tblGrid>
      <w:tr w:rsidR="00C11FB7" w:rsidRPr="002D2010" w14:paraId="12ADD334" w14:textId="3F96F5C8" w:rsidTr="00CD6670">
        <w:trPr>
          <w:trHeight w:val="1308"/>
        </w:trPr>
        <w:tc>
          <w:tcPr>
            <w:tcW w:w="1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58CBE3" w14:textId="77777777" w:rsidR="00C11FB7" w:rsidRPr="002D2010" w:rsidRDefault="00C11FB7" w:rsidP="002D2010">
            <w:pPr>
              <w:rPr>
                <w:rFonts w:cs="Arial"/>
                <w:b/>
                <w:bCs/>
                <w:color w:val="000000"/>
                <w:lang w:eastAsia="en-GB"/>
              </w:rPr>
            </w:pPr>
            <w:r w:rsidRPr="002D2010">
              <w:rPr>
                <w:rFonts w:cs="Arial"/>
                <w:b/>
                <w:bCs/>
                <w:color w:val="000000"/>
                <w:lang w:eastAsia="en-GB"/>
              </w:rPr>
              <w:t>Scale Points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27E5C" w14:textId="77777777" w:rsidR="00C11FB7" w:rsidRPr="002D2010" w:rsidRDefault="00C11FB7" w:rsidP="002D2010">
            <w:pPr>
              <w:rPr>
                <w:rFonts w:cs="Arial"/>
                <w:b/>
                <w:bCs/>
                <w:color w:val="000000"/>
                <w:lang w:eastAsia="en-GB"/>
              </w:rPr>
            </w:pPr>
            <w:r w:rsidRPr="002D2010">
              <w:rPr>
                <w:rFonts w:cs="Arial"/>
                <w:b/>
                <w:bCs/>
                <w:color w:val="000000"/>
                <w:lang w:eastAsia="en-GB"/>
              </w:rPr>
              <w:t>Rate as at 1</w:t>
            </w:r>
            <w:r w:rsidRPr="002D2010">
              <w:rPr>
                <w:rFonts w:cs="Arial"/>
                <w:b/>
                <w:bCs/>
                <w:color w:val="000000"/>
                <w:vertAlign w:val="superscript"/>
                <w:lang w:eastAsia="en-GB"/>
              </w:rPr>
              <w:t>st</w:t>
            </w:r>
            <w:r w:rsidRPr="002D2010">
              <w:rPr>
                <w:rFonts w:cs="Arial"/>
                <w:b/>
                <w:bCs/>
                <w:color w:val="000000"/>
                <w:lang w:eastAsia="en-GB"/>
              </w:rPr>
              <w:t xml:space="preserve"> Sept 2017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06606B" w14:textId="77777777" w:rsidR="00C11FB7" w:rsidRPr="002D2010" w:rsidRDefault="00C11FB7" w:rsidP="002D2010">
            <w:pPr>
              <w:rPr>
                <w:rFonts w:cs="Arial"/>
                <w:b/>
                <w:bCs/>
                <w:color w:val="000000"/>
                <w:lang w:eastAsia="en-GB"/>
              </w:rPr>
            </w:pPr>
            <w:r w:rsidRPr="002D2010">
              <w:rPr>
                <w:rFonts w:cs="Arial"/>
                <w:b/>
                <w:bCs/>
                <w:color w:val="000000"/>
                <w:lang w:eastAsia="en-GB"/>
              </w:rPr>
              <w:t>Rate as at 1</w:t>
            </w:r>
            <w:r w:rsidRPr="002D2010">
              <w:rPr>
                <w:rFonts w:cs="Arial"/>
                <w:b/>
                <w:bCs/>
                <w:color w:val="000000"/>
                <w:vertAlign w:val="superscript"/>
                <w:lang w:eastAsia="en-GB"/>
              </w:rPr>
              <w:t>st</w:t>
            </w:r>
            <w:r w:rsidRPr="002D2010">
              <w:rPr>
                <w:rFonts w:cs="Arial"/>
                <w:b/>
                <w:bCs/>
                <w:color w:val="000000"/>
                <w:lang w:eastAsia="en-GB"/>
              </w:rPr>
              <w:t xml:space="preserve"> Sept 2018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ADDBBC" w14:textId="77777777" w:rsidR="00C11FB7" w:rsidRPr="002D2010" w:rsidRDefault="00C11FB7" w:rsidP="002D2010">
            <w:pPr>
              <w:rPr>
                <w:rFonts w:cs="Arial"/>
                <w:b/>
                <w:bCs/>
                <w:color w:val="000000"/>
                <w:lang w:eastAsia="en-GB"/>
              </w:rPr>
            </w:pPr>
            <w:r w:rsidRPr="002D2010">
              <w:rPr>
                <w:rFonts w:cs="Arial"/>
                <w:b/>
                <w:bCs/>
                <w:color w:val="000000"/>
                <w:lang w:eastAsia="en-GB"/>
              </w:rPr>
              <w:t>Rate as at 1</w:t>
            </w:r>
            <w:r w:rsidRPr="002D2010">
              <w:rPr>
                <w:rFonts w:cs="Arial"/>
                <w:b/>
                <w:bCs/>
                <w:color w:val="000000"/>
                <w:vertAlign w:val="superscript"/>
                <w:lang w:eastAsia="en-GB"/>
              </w:rPr>
              <w:t>st</w:t>
            </w:r>
            <w:r w:rsidRPr="002D2010">
              <w:rPr>
                <w:rFonts w:cs="Arial"/>
                <w:b/>
                <w:bCs/>
                <w:color w:val="000000"/>
                <w:lang w:eastAsia="en-GB"/>
              </w:rPr>
              <w:t xml:space="preserve"> Sept 2019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3A6AB" w14:textId="77777777" w:rsidR="00C11FB7" w:rsidRPr="002D2010" w:rsidRDefault="00C11FB7" w:rsidP="002D2010">
            <w:pPr>
              <w:rPr>
                <w:rFonts w:cs="Arial"/>
                <w:b/>
                <w:bCs/>
                <w:color w:val="000000"/>
                <w:lang w:eastAsia="en-GB"/>
              </w:rPr>
            </w:pPr>
            <w:r w:rsidRPr="002D2010">
              <w:rPr>
                <w:rFonts w:cs="Arial"/>
                <w:b/>
                <w:bCs/>
                <w:color w:val="000000"/>
                <w:lang w:eastAsia="en-GB"/>
              </w:rPr>
              <w:t>Rate as at 1</w:t>
            </w:r>
            <w:r w:rsidRPr="002D2010">
              <w:rPr>
                <w:rFonts w:cs="Arial"/>
                <w:b/>
                <w:bCs/>
                <w:color w:val="000000"/>
                <w:vertAlign w:val="superscript"/>
                <w:lang w:eastAsia="en-GB"/>
              </w:rPr>
              <w:t>st</w:t>
            </w:r>
            <w:r w:rsidRPr="002D2010">
              <w:rPr>
                <w:rFonts w:cs="Arial"/>
                <w:b/>
                <w:bCs/>
                <w:color w:val="000000"/>
                <w:lang w:eastAsia="en-GB"/>
              </w:rPr>
              <w:t xml:space="preserve"> Sept 2020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2E79D4" w14:textId="623FF644" w:rsidR="00C11FB7" w:rsidRPr="002D2010" w:rsidRDefault="00474EE6" w:rsidP="002D2010">
            <w:pPr>
              <w:rPr>
                <w:rFonts w:cs="Arial"/>
                <w:b/>
                <w:bCs/>
                <w:color w:val="000000"/>
                <w:lang w:eastAsia="en-GB"/>
              </w:rPr>
            </w:pPr>
            <w:r w:rsidRPr="002D2010">
              <w:rPr>
                <w:rFonts w:cs="Arial"/>
                <w:b/>
                <w:bCs/>
                <w:color w:val="000000"/>
                <w:lang w:eastAsia="en-GB"/>
              </w:rPr>
              <w:t>Rate as at 1</w:t>
            </w:r>
            <w:r w:rsidRPr="002D2010">
              <w:rPr>
                <w:rFonts w:cs="Arial"/>
                <w:b/>
                <w:bCs/>
                <w:color w:val="000000"/>
                <w:vertAlign w:val="superscript"/>
                <w:lang w:eastAsia="en-GB"/>
              </w:rPr>
              <w:t>st</w:t>
            </w:r>
            <w:r w:rsidRPr="002D2010">
              <w:rPr>
                <w:rFonts w:cs="Arial"/>
                <w:b/>
                <w:bCs/>
                <w:color w:val="000000"/>
                <w:lang w:eastAsia="en-GB"/>
              </w:rPr>
              <w:t xml:space="preserve"> Sept 202</w:t>
            </w:r>
            <w:r>
              <w:rPr>
                <w:rFonts w:cs="Arial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D5FE10F" w14:textId="48AC61CF" w:rsidR="00C11FB7" w:rsidRPr="002D2010" w:rsidRDefault="00474EE6" w:rsidP="002D2010">
            <w:pPr>
              <w:rPr>
                <w:rFonts w:cs="Arial"/>
                <w:b/>
                <w:bCs/>
                <w:color w:val="000000"/>
                <w:lang w:eastAsia="en-GB"/>
              </w:rPr>
            </w:pPr>
            <w:r w:rsidRPr="002D2010">
              <w:rPr>
                <w:rFonts w:cs="Arial"/>
                <w:b/>
                <w:bCs/>
                <w:color w:val="000000"/>
                <w:lang w:eastAsia="en-GB"/>
              </w:rPr>
              <w:t>Rate as at 1</w:t>
            </w:r>
            <w:r w:rsidRPr="002D2010">
              <w:rPr>
                <w:rFonts w:cs="Arial"/>
                <w:b/>
                <w:bCs/>
                <w:color w:val="000000"/>
                <w:vertAlign w:val="superscript"/>
                <w:lang w:eastAsia="en-GB"/>
              </w:rPr>
              <w:t>st</w:t>
            </w:r>
            <w:r w:rsidRPr="002D2010">
              <w:rPr>
                <w:rFonts w:cs="Arial"/>
                <w:b/>
                <w:bCs/>
                <w:color w:val="000000"/>
                <w:lang w:eastAsia="en-GB"/>
              </w:rPr>
              <w:t xml:space="preserve"> Sept 202</w:t>
            </w:r>
            <w:r>
              <w:rPr>
                <w:rFonts w:cs="Arial"/>
                <w:b/>
                <w:bCs/>
                <w:color w:val="000000"/>
                <w:lang w:eastAsia="en-GB"/>
              </w:rPr>
              <w:t>2</w:t>
            </w:r>
          </w:p>
        </w:tc>
      </w:tr>
      <w:tr w:rsidR="00884E61" w:rsidRPr="002D2010" w14:paraId="3A3A0670" w14:textId="60E949C8" w:rsidTr="00CD6670">
        <w:trPr>
          <w:trHeight w:val="324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8C26A4" w14:textId="4475E33C" w:rsidR="00884E61" w:rsidRPr="002D2010" w:rsidRDefault="00884E61" w:rsidP="00884E6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2D2010">
              <w:rPr>
                <w:rFonts w:cs="Arial"/>
                <w:b/>
                <w:bCs/>
                <w:color w:val="000000"/>
                <w:lang w:eastAsia="en-GB"/>
              </w:rPr>
              <w:t>1</w:t>
            </w:r>
            <w:r w:rsidR="0053615C">
              <w:rPr>
                <w:rFonts w:cs="Arial"/>
                <w:b/>
                <w:bCs/>
                <w:color w:val="000000"/>
                <w:lang w:eastAsia="en-GB"/>
              </w:rPr>
              <w:t xml:space="preserve"> n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3369F" w14:textId="77777777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2D2010">
              <w:rPr>
                <w:rFonts w:cs="Arial"/>
                <w:color w:val="000000"/>
                <w:lang w:eastAsia="en-GB"/>
              </w:rPr>
              <w:t>£22,851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4351D2" w14:textId="77777777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2D2010">
              <w:rPr>
                <w:rFonts w:cs="Arial"/>
                <w:color w:val="000000"/>
                <w:lang w:eastAsia="en-GB"/>
              </w:rPr>
              <w:t>£23,080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6B9E2" w14:textId="2A77C7DD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£23,542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5EFB7" w14:textId="08AE20CA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£24,013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E1E25B" w14:textId="7A89D51D" w:rsidR="00884E61" w:rsidRDefault="00884E61" w:rsidP="00884E61">
            <w:pPr>
              <w:jc w:val="center"/>
              <w:rPr>
                <w:rFonts w:cs="Arial"/>
                <w:color w:val="000000"/>
              </w:rPr>
            </w:pPr>
            <w:r w:rsidRPr="007F0A2D">
              <w:t>£24,253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0C06F2C" w14:textId="151976B7" w:rsidR="00884E61" w:rsidRDefault="00884E61" w:rsidP="00884E61">
            <w:pPr>
              <w:jc w:val="center"/>
              <w:rPr>
                <w:rFonts w:cs="Arial"/>
                <w:color w:val="000000"/>
              </w:rPr>
            </w:pPr>
            <w:r w:rsidRPr="004864F5">
              <w:t>£24,496</w:t>
            </w:r>
          </w:p>
        </w:tc>
      </w:tr>
      <w:tr w:rsidR="00884E61" w:rsidRPr="002D2010" w14:paraId="673EFA54" w14:textId="722FE8E5" w:rsidTr="00CD6670">
        <w:trPr>
          <w:trHeight w:val="324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15D10D" w14:textId="77777777" w:rsidR="00884E61" w:rsidRPr="002D2010" w:rsidRDefault="00884E61" w:rsidP="00884E6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2D2010">
              <w:rPr>
                <w:rFonts w:cs="Arial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01BBCF" w14:textId="77777777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2D2010">
              <w:rPr>
                <w:rFonts w:cs="Arial"/>
                <w:color w:val="000000"/>
                <w:lang w:eastAsia="en-GB"/>
              </w:rPr>
              <w:t>£26,274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8ED71B" w14:textId="77777777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2D2010">
              <w:rPr>
                <w:rFonts w:cs="Arial"/>
                <w:color w:val="000000"/>
                <w:lang w:eastAsia="en-GB"/>
              </w:rPr>
              <w:t>£26,537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DEF7A9" w14:textId="189AC57A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£27,068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CFC17F" w14:textId="1FDAB1D1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£27,609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98AE8D2" w14:textId="14C1C461" w:rsidR="00884E61" w:rsidRDefault="00884E61" w:rsidP="00884E61">
            <w:pPr>
              <w:jc w:val="center"/>
              <w:rPr>
                <w:rFonts w:cs="Arial"/>
                <w:color w:val="000000"/>
              </w:rPr>
            </w:pPr>
            <w:r w:rsidRPr="007F0A2D">
              <w:t>£27,885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30682C4" w14:textId="0CEBF844" w:rsidR="00884E61" w:rsidRDefault="00884E61" w:rsidP="00884E61">
            <w:pPr>
              <w:jc w:val="center"/>
              <w:rPr>
                <w:rFonts w:cs="Arial"/>
                <w:color w:val="000000"/>
              </w:rPr>
            </w:pPr>
            <w:r w:rsidRPr="004864F5">
              <w:t>£28,164</w:t>
            </w:r>
          </w:p>
        </w:tc>
      </w:tr>
      <w:tr w:rsidR="00884E61" w:rsidRPr="002D2010" w14:paraId="544CD55C" w14:textId="31A3EF3B" w:rsidTr="00CD6670">
        <w:trPr>
          <w:trHeight w:val="324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165682" w14:textId="77777777" w:rsidR="00884E61" w:rsidRPr="002D2010" w:rsidRDefault="00884E61" w:rsidP="00884E6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2D2010">
              <w:rPr>
                <w:rFonts w:cs="Arial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01ABF1" w14:textId="77777777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2D2010">
              <w:rPr>
                <w:rFonts w:cs="Arial"/>
                <w:color w:val="000000"/>
                <w:lang w:eastAsia="en-GB"/>
              </w:rPr>
              <w:t>£28,476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2E19FD" w14:textId="77777777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2D2010">
              <w:rPr>
                <w:rFonts w:cs="Arial"/>
                <w:color w:val="000000"/>
                <w:lang w:eastAsia="en-GB"/>
              </w:rPr>
              <w:t>£28,761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A7C5CA" w14:textId="0B73317D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£29,336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BD024" w14:textId="35EE57C3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£29,923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EB7466" w14:textId="6897870A" w:rsidR="00884E61" w:rsidRDefault="00884E61" w:rsidP="00884E61">
            <w:pPr>
              <w:jc w:val="center"/>
              <w:rPr>
                <w:rFonts w:cs="Arial"/>
                <w:color w:val="000000"/>
              </w:rPr>
            </w:pPr>
            <w:r w:rsidRPr="007F0A2D">
              <w:t>£30,222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1D6BEB" w14:textId="539FFB81" w:rsidR="00884E61" w:rsidRDefault="00884E61" w:rsidP="00884E61">
            <w:pPr>
              <w:jc w:val="center"/>
              <w:rPr>
                <w:rFonts w:cs="Arial"/>
                <w:color w:val="000000"/>
              </w:rPr>
            </w:pPr>
            <w:r w:rsidRPr="004864F5">
              <w:t>£30,524</w:t>
            </w:r>
          </w:p>
        </w:tc>
      </w:tr>
      <w:tr w:rsidR="00884E61" w:rsidRPr="002D2010" w14:paraId="6C81BA7A" w14:textId="60EA8F03" w:rsidTr="00CD6670">
        <w:trPr>
          <w:trHeight w:val="324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A213EC" w14:textId="77777777" w:rsidR="00884E61" w:rsidRPr="002D2010" w:rsidRDefault="00884E61" w:rsidP="00884E6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2D2010">
              <w:rPr>
                <w:rFonts w:cs="Arial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314FC" w14:textId="77777777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2D2010">
              <w:rPr>
                <w:rFonts w:cs="Arial"/>
                <w:color w:val="000000"/>
                <w:lang w:eastAsia="en-GB"/>
              </w:rPr>
              <w:t>£30,842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A8CFA1" w14:textId="77777777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2D2010">
              <w:rPr>
                <w:rFonts w:cs="Arial"/>
                <w:color w:val="000000"/>
                <w:lang w:eastAsia="en-GB"/>
              </w:rPr>
              <w:t>£31,150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322349" w14:textId="6C59A1D5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£31,773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09284" w14:textId="01B877B5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£32,408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69F9C5" w14:textId="1824879E" w:rsidR="00884E61" w:rsidRDefault="00884E61" w:rsidP="00884E61">
            <w:pPr>
              <w:jc w:val="center"/>
              <w:rPr>
                <w:rFonts w:cs="Arial"/>
                <w:color w:val="000000"/>
              </w:rPr>
            </w:pPr>
            <w:r w:rsidRPr="007F0A2D">
              <w:t>£32,732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7D54B0" w14:textId="3B80638C" w:rsidR="00884E61" w:rsidRDefault="00884E61" w:rsidP="00884E61">
            <w:pPr>
              <w:jc w:val="center"/>
              <w:rPr>
                <w:rFonts w:cs="Arial"/>
                <w:color w:val="000000"/>
              </w:rPr>
            </w:pPr>
            <w:r w:rsidRPr="004864F5">
              <w:t>£33,059</w:t>
            </w:r>
          </w:p>
        </w:tc>
      </w:tr>
      <w:tr w:rsidR="00884E61" w:rsidRPr="002D2010" w14:paraId="2F72F79F" w14:textId="424E336A" w:rsidTr="00CD6670">
        <w:trPr>
          <w:trHeight w:val="324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DBC325" w14:textId="77777777" w:rsidR="00884E61" w:rsidRPr="002D2010" w:rsidRDefault="00884E61" w:rsidP="00884E6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2D2010">
              <w:rPr>
                <w:rFonts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DA40C6" w14:textId="77777777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2D2010">
              <w:rPr>
                <w:rFonts w:cs="Arial"/>
                <w:color w:val="000000"/>
                <w:lang w:eastAsia="en-GB"/>
              </w:rPr>
              <w:t>£33,129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3E011" w14:textId="77777777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2D2010">
              <w:rPr>
                <w:rFonts w:cs="Arial"/>
                <w:color w:val="000000"/>
                <w:lang w:eastAsia="en-GB"/>
              </w:rPr>
              <w:t>£33,460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7DAD8" w14:textId="367B48FE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£34,129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3752C" w14:textId="0F81A5BA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£34,812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ED6495A" w14:textId="4C736AF9" w:rsidR="00884E61" w:rsidRDefault="00884E61" w:rsidP="00884E61">
            <w:pPr>
              <w:jc w:val="center"/>
              <w:rPr>
                <w:rFonts w:cs="Arial"/>
                <w:color w:val="000000"/>
              </w:rPr>
            </w:pPr>
            <w:r w:rsidRPr="007F0A2D">
              <w:t>£35,160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174B37" w14:textId="4777C9FA" w:rsidR="00884E61" w:rsidRDefault="00884E61" w:rsidP="00884E61">
            <w:pPr>
              <w:jc w:val="center"/>
              <w:rPr>
                <w:rFonts w:cs="Arial"/>
                <w:color w:val="000000"/>
              </w:rPr>
            </w:pPr>
            <w:r w:rsidRPr="004864F5">
              <w:t>£35,512</w:t>
            </w:r>
          </w:p>
        </w:tc>
      </w:tr>
      <w:tr w:rsidR="00884E61" w:rsidRPr="002D2010" w14:paraId="442A189B" w14:textId="0CE6F9A2" w:rsidTr="00CD6670">
        <w:trPr>
          <w:trHeight w:val="636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92520C" w14:textId="77777777" w:rsidR="00884E61" w:rsidRPr="002D2010" w:rsidRDefault="00884E61" w:rsidP="00884E61">
            <w:pPr>
              <w:rPr>
                <w:rFonts w:cs="Arial"/>
                <w:b/>
                <w:bCs/>
                <w:color w:val="000000"/>
                <w:lang w:eastAsia="en-GB"/>
              </w:rPr>
            </w:pPr>
            <w:r w:rsidRPr="002D2010">
              <w:rPr>
                <w:rFonts w:cs="Arial"/>
                <w:b/>
                <w:bCs/>
                <w:color w:val="000000"/>
                <w:lang w:eastAsia="en-GB"/>
              </w:rPr>
              <w:t>Threshold*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62748B" w14:textId="77777777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2D2010">
              <w:rPr>
                <w:rFonts w:cs="Arial"/>
                <w:color w:val="000000"/>
                <w:lang w:eastAsia="en-GB"/>
              </w:rPr>
              <w:t>£2,640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1DDEB2" w14:textId="77777777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2D2010">
              <w:rPr>
                <w:rFonts w:cs="Arial"/>
                <w:color w:val="000000"/>
                <w:lang w:eastAsia="en-GB"/>
              </w:rPr>
              <w:t>£2,666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8A0B62" w14:textId="77777777" w:rsidR="00884E61" w:rsidRDefault="00884E61" w:rsidP="00884E6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£2,719</w:t>
            </w:r>
          </w:p>
          <w:p w14:paraId="50F54993" w14:textId="41E392F8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79E03E" w14:textId="77777777" w:rsidR="00884E61" w:rsidRDefault="00884E61" w:rsidP="00884E6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£2,773</w:t>
            </w:r>
          </w:p>
          <w:p w14:paraId="6D14706E" w14:textId="14E39FE5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0F0A25" w14:textId="20A1677D" w:rsidR="00884E61" w:rsidRDefault="00884E61" w:rsidP="00CD6670">
            <w:pPr>
              <w:jc w:val="center"/>
              <w:rPr>
                <w:rFonts w:cs="Arial"/>
                <w:color w:val="000000"/>
              </w:rPr>
            </w:pPr>
            <w:r w:rsidRPr="007F0A2D">
              <w:t>£2,801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036F1B" w14:textId="6EC25409" w:rsidR="00884E61" w:rsidRDefault="00884E61" w:rsidP="00CD6670">
            <w:pPr>
              <w:jc w:val="center"/>
              <w:rPr>
                <w:rFonts w:cs="Arial"/>
                <w:color w:val="000000"/>
              </w:rPr>
            </w:pPr>
            <w:r w:rsidRPr="004864F5">
              <w:t>£2,829</w:t>
            </w:r>
          </w:p>
        </w:tc>
      </w:tr>
      <w:tr w:rsidR="00884E61" w:rsidRPr="002D2010" w14:paraId="164A15D9" w14:textId="118F17A3" w:rsidTr="00CD6670">
        <w:trPr>
          <w:trHeight w:val="636"/>
        </w:trPr>
        <w:tc>
          <w:tcPr>
            <w:tcW w:w="14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FEDAD6" w14:textId="77777777" w:rsidR="00884E61" w:rsidRPr="002D2010" w:rsidRDefault="00884E61" w:rsidP="00884E61">
            <w:pPr>
              <w:rPr>
                <w:rFonts w:cs="Arial"/>
                <w:b/>
                <w:bCs/>
                <w:color w:val="000000"/>
                <w:lang w:eastAsia="en-GB"/>
              </w:rPr>
            </w:pPr>
            <w:r w:rsidRPr="002D2010">
              <w:rPr>
                <w:rFonts w:cs="Arial"/>
                <w:b/>
                <w:bCs/>
                <w:color w:val="000000"/>
                <w:lang w:eastAsia="en-GB"/>
              </w:rPr>
              <w:t>Deane**</w:t>
            </w:r>
          </w:p>
        </w:tc>
        <w:tc>
          <w:tcPr>
            <w:tcW w:w="1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E0621" w14:textId="77777777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2D2010">
              <w:rPr>
                <w:rFonts w:cs="Arial"/>
                <w:color w:val="000000"/>
                <w:lang w:eastAsia="en-GB"/>
              </w:rPr>
              <w:t>£1,373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DF747" w14:textId="77777777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2D2010">
              <w:rPr>
                <w:rFonts w:cs="Arial"/>
                <w:color w:val="000000"/>
                <w:lang w:eastAsia="en-GB"/>
              </w:rPr>
              <w:t>£1,387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96E31E" w14:textId="77777777" w:rsidR="00884E61" w:rsidRDefault="00884E61" w:rsidP="00884E6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£1,415</w:t>
            </w:r>
          </w:p>
          <w:p w14:paraId="0D645017" w14:textId="33493C31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A83D6C" w14:textId="77777777" w:rsidR="00884E61" w:rsidRDefault="00884E61" w:rsidP="00884E6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£1,443</w:t>
            </w:r>
          </w:p>
          <w:p w14:paraId="5C61280B" w14:textId="0D9C9261" w:rsidR="00884E61" w:rsidRPr="002D2010" w:rsidRDefault="00884E61" w:rsidP="00884E61">
            <w:pPr>
              <w:jc w:val="center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177F1D1" w14:textId="443382C9" w:rsidR="00884E61" w:rsidRDefault="00884E61" w:rsidP="00CD6670">
            <w:pPr>
              <w:jc w:val="center"/>
              <w:rPr>
                <w:rFonts w:cs="Arial"/>
                <w:color w:val="000000"/>
              </w:rPr>
            </w:pPr>
            <w:r w:rsidRPr="007F0A2D">
              <w:t>£1,457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98A783F" w14:textId="29DB8B73" w:rsidR="00884E61" w:rsidRDefault="00884E61" w:rsidP="00CD6670">
            <w:pPr>
              <w:jc w:val="center"/>
              <w:rPr>
                <w:rFonts w:cs="Arial"/>
                <w:color w:val="000000"/>
              </w:rPr>
            </w:pPr>
            <w:r w:rsidRPr="004864F5">
              <w:t>£1,472</w:t>
            </w:r>
          </w:p>
        </w:tc>
      </w:tr>
    </w:tbl>
    <w:p w14:paraId="3334F63B" w14:textId="77777777" w:rsidR="002D2010" w:rsidRDefault="002D2010" w:rsidP="00AA20FB"/>
    <w:p w14:paraId="11D70B74" w14:textId="77777777" w:rsidR="00AA20FB" w:rsidRDefault="00AA20FB" w:rsidP="00AA20FB">
      <w:pPr>
        <w:rPr>
          <w:sz w:val="22"/>
          <w:szCs w:val="22"/>
        </w:rPr>
      </w:pPr>
      <w:r>
        <w:rPr>
          <w:sz w:val="22"/>
          <w:szCs w:val="22"/>
        </w:rPr>
        <w:t>Threshold point</w:t>
      </w:r>
    </w:p>
    <w:p w14:paraId="01DF28B4" w14:textId="77777777" w:rsidR="00AA20FB" w:rsidRDefault="00AA20FB" w:rsidP="000C6EAB">
      <w:pPr>
        <w:ind w:left="720" w:hanging="720"/>
        <w:rPr>
          <w:sz w:val="22"/>
          <w:szCs w:val="22"/>
        </w:rPr>
      </w:pPr>
      <w:r>
        <w:rPr>
          <w:sz w:val="22"/>
          <w:szCs w:val="22"/>
        </w:rPr>
        <w:t>*</w:t>
      </w:r>
      <w:r>
        <w:rPr>
          <w:sz w:val="22"/>
          <w:szCs w:val="22"/>
        </w:rPr>
        <w:tab/>
      </w:r>
      <w:r w:rsidR="00852214" w:rsidRPr="00852214">
        <w:rPr>
          <w:sz w:val="22"/>
          <w:szCs w:val="22"/>
        </w:rPr>
        <w:t>Threshold payment carried from lecturer scale, if applicable. Threshold payment carried or newly acquired on the lecturer scale</w:t>
      </w:r>
    </w:p>
    <w:p w14:paraId="69292069" w14:textId="77777777" w:rsidR="00632233" w:rsidRDefault="00632233" w:rsidP="00632233">
      <w:pPr>
        <w:ind w:left="770" w:hanging="770"/>
        <w:rPr>
          <w:sz w:val="22"/>
          <w:szCs w:val="22"/>
        </w:rPr>
      </w:pPr>
      <w:r>
        <w:rPr>
          <w:sz w:val="22"/>
          <w:szCs w:val="22"/>
        </w:rPr>
        <w:t>Deane</w:t>
      </w:r>
    </w:p>
    <w:p w14:paraId="69CD3DA0" w14:textId="77777777" w:rsidR="00632233" w:rsidRDefault="000C6EAB" w:rsidP="00632233">
      <w:pPr>
        <w:ind w:left="770" w:hanging="770"/>
        <w:rPr>
          <w:sz w:val="22"/>
          <w:szCs w:val="22"/>
        </w:rPr>
      </w:pPr>
      <w:r>
        <w:rPr>
          <w:sz w:val="22"/>
          <w:szCs w:val="22"/>
        </w:rPr>
        <w:t>**</w:t>
      </w:r>
      <w:r w:rsidR="00632233">
        <w:rPr>
          <w:sz w:val="22"/>
          <w:szCs w:val="22"/>
        </w:rPr>
        <w:tab/>
        <w:t xml:space="preserve">The Deane payment is detailed in Section </w:t>
      </w:r>
      <w:r w:rsidR="00342CF3">
        <w:rPr>
          <w:sz w:val="22"/>
          <w:szCs w:val="22"/>
        </w:rPr>
        <w:t>6</w:t>
      </w:r>
      <w:r w:rsidR="00632233">
        <w:rPr>
          <w:sz w:val="22"/>
          <w:szCs w:val="22"/>
        </w:rPr>
        <w:t xml:space="preserve"> of this circular.  This payment relates to staff who have been on threshold for two years or more.</w:t>
      </w:r>
    </w:p>
    <w:p w14:paraId="01C22009" w14:textId="77777777" w:rsidR="00AA20FB" w:rsidRDefault="00AA20FB" w:rsidP="00AA20FB">
      <w:pPr>
        <w:ind w:left="770" w:hanging="770"/>
        <w:rPr>
          <w:sz w:val="22"/>
          <w:szCs w:val="22"/>
        </w:rPr>
      </w:pPr>
    </w:p>
    <w:p w14:paraId="0F53A4E2" w14:textId="77777777" w:rsidR="002F2EA4" w:rsidRDefault="002F2EA4" w:rsidP="00AA20FB">
      <w:pPr>
        <w:ind w:left="770" w:hanging="770"/>
        <w:rPr>
          <w:sz w:val="22"/>
          <w:szCs w:val="22"/>
        </w:rPr>
      </w:pPr>
      <w:r>
        <w:rPr>
          <w:sz w:val="22"/>
          <w:szCs w:val="22"/>
        </w:rPr>
        <w:t>(</w:t>
      </w:r>
      <w:r w:rsidRPr="002F2EA4">
        <w:rPr>
          <w:sz w:val="22"/>
          <w:szCs w:val="22"/>
        </w:rPr>
        <w:t>Note</w:t>
      </w:r>
      <w:r>
        <w:rPr>
          <w:sz w:val="22"/>
          <w:szCs w:val="22"/>
        </w:rPr>
        <w:t xml:space="preserve"> – pay award</w:t>
      </w:r>
      <w:r w:rsidRPr="002F2EA4">
        <w:rPr>
          <w:sz w:val="22"/>
          <w:szCs w:val="22"/>
        </w:rPr>
        <w:t xml:space="preserve"> applied and the new rates then rounded to the nearest </w:t>
      </w:r>
      <w:r w:rsidR="00433149">
        <w:rPr>
          <w:sz w:val="22"/>
          <w:szCs w:val="22"/>
        </w:rPr>
        <w:t>£1</w:t>
      </w:r>
      <w:r w:rsidR="00D17353">
        <w:rPr>
          <w:sz w:val="22"/>
          <w:szCs w:val="22"/>
        </w:rPr>
        <w:t>)</w:t>
      </w:r>
    </w:p>
    <w:p w14:paraId="16E91AA5" w14:textId="77777777" w:rsidR="002F2EA4" w:rsidRDefault="002F2EA4" w:rsidP="00AA20FB">
      <w:pPr>
        <w:ind w:left="770" w:hanging="770"/>
        <w:rPr>
          <w:sz w:val="22"/>
          <w:szCs w:val="22"/>
        </w:rPr>
      </w:pPr>
    </w:p>
    <w:p w14:paraId="07AFDA53" w14:textId="77777777" w:rsidR="00614060" w:rsidRDefault="00614060" w:rsidP="00AA20FB">
      <w:pPr>
        <w:ind w:left="770" w:hanging="770"/>
        <w:rPr>
          <w:sz w:val="22"/>
          <w:szCs w:val="22"/>
        </w:rPr>
      </w:pPr>
    </w:p>
    <w:p w14:paraId="00576657" w14:textId="77777777" w:rsidR="00AA20FB" w:rsidRPr="00342CF3" w:rsidRDefault="00AA20FB" w:rsidP="00342CF3">
      <w:pPr>
        <w:numPr>
          <w:ilvl w:val="0"/>
          <w:numId w:val="4"/>
        </w:numPr>
        <w:tabs>
          <w:tab w:val="clear" w:pos="1080"/>
        </w:tabs>
        <w:ind w:left="709"/>
        <w:rPr>
          <w:b/>
        </w:rPr>
      </w:pPr>
      <w:r w:rsidRPr="00342CF3">
        <w:rPr>
          <w:b/>
        </w:rPr>
        <w:t>Principal Lecturers</w:t>
      </w:r>
    </w:p>
    <w:p w14:paraId="33FDD652" w14:textId="77777777" w:rsidR="00AA20FB" w:rsidRDefault="00AA20FB" w:rsidP="00AA20FB"/>
    <w:p w14:paraId="2C13E2E8" w14:textId="77777777" w:rsidR="00AA20FB" w:rsidRDefault="00AA20FB" w:rsidP="00AA20FB"/>
    <w:tbl>
      <w:tblPr>
        <w:tblW w:w="1063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2126"/>
        <w:gridCol w:w="2127"/>
        <w:gridCol w:w="2127"/>
        <w:gridCol w:w="2127"/>
      </w:tblGrid>
      <w:tr w:rsidR="00B23A31" w:rsidRPr="003236DC" w14:paraId="0299482B" w14:textId="53A6F0DF" w:rsidTr="004E605B">
        <w:trPr>
          <w:trHeight w:val="1500"/>
        </w:trPr>
        <w:tc>
          <w:tcPr>
            <w:tcW w:w="11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F49B5A" w14:textId="77777777" w:rsidR="00B23A31" w:rsidRPr="003236DC" w:rsidRDefault="00B23A31" w:rsidP="00B23A3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36DC">
              <w:rPr>
                <w:rFonts w:cs="Arial"/>
                <w:b/>
                <w:bCs/>
                <w:color w:val="000000"/>
                <w:lang w:eastAsia="en-GB"/>
              </w:rPr>
              <w:t>College Size Group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88098" w14:textId="77777777" w:rsidR="00B23A31" w:rsidRPr="003236DC" w:rsidRDefault="00B23A31" w:rsidP="00B23A3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36DC">
              <w:rPr>
                <w:rFonts w:cs="Arial"/>
                <w:b/>
                <w:bCs/>
                <w:color w:val="000000"/>
                <w:lang w:eastAsia="en-GB"/>
              </w:rPr>
              <w:t>Scale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52EB2F" w14:textId="77777777" w:rsidR="00B23A31" w:rsidRPr="003236DC" w:rsidRDefault="00B23A31" w:rsidP="00B23A3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36DC">
              <w:rPr>
                <w:rFonts w:cs="Arial"/>
                <w:b/>
                <w:bCs/>
                <w:color w:val="000000"/>
                <w:lang w:eastAsia="en-GB"/>
              </w:rPr>
              <w:t>Range of Points on Scale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153B86" w14:textId="77777777" w:rsidR="00B23A31" w:rsidRPr="003236DC" w:rsidRDefault="00B23A31" w:rsidP="00B23A3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36DC">
              <w:rPr>
                <w:rFonts w:cs="Arial"/>
                <w:b/>
                <w:bCs/>
                <w:color w:val="000000"/>
                <w:lang w:eastAsia="en-GB"/>
              </w:rPr>
              <w:t>Range of Points on Scale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146A4A5" w14:textId="54CFF0D3" w:rsidR="00B23A31" w:rsidRPr="003236DC" w:rsidRDefault="00B23A31" w:rsidP="00B23A3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36DC">
              <w:rPr>
                <w:rFonts w:cs="Arial"/>
                <w:b/>
                <w:bCs/>
                <w:color w:val="000000"/>
                <w:lang w:eastAsia="en-GB"/>
              </w:rPr>
              <w:t>Range of Points on Scale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6736B69" w14:textId="4856A079" w:rsidR="00B23A31" w:rsidRPr="003236DC" w:rsidRDefault="00B23A31" w:rsidP="00B23A3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36DC">
              <w:rPr>
                <w:rFonts w:cs="Arial"/>
                <w:b/>
                <w:bCs/>
                <w:color w:val="000000"/>
                <w:lang w:eastAsia="en-GB"/>
              </w:rPr>
              <w:t>Range of Points on Scale</w:t>
            </w:r>
          </w:p>
        </w:tc>
      </w:tr>
      <w:tr w:rsidR="00B23A31" w:rsidRPr="003236DC" w14:paraId="564FBE84" w14:textId="51D75A4F" w:rsidTr="00E0510F">
        <w:trPr>
          <w:trHeight w:val="306"/>
        </w:trPr>
        <w:tc>
          <w:tcPr>
            <w:tcW w:w="11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724DD8" w14:textId="77777777" w:rsidR="00B23A31" w:rsidRPr="003236DC" w:rsidRDefault="00B23A31" w:rsidP="00B23A31">
            <w:pPr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214877" w14:textId="77777777" w:rsidR="00B23A31" w:rsidRPr="003236DC" w:rsidRDefault="00B23A31" w:rsidP="00B23A31">
            <w:pPr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03B53B" w14:textId="77777777" w:rsidR="00B23A31" w:rsidRPr="003236DC" w:rsidRDefault="00B23A31" w:rsidP="00B23A3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36DC">
              <w:rPr>
                <w:rFonts w:cs="Arial"/>
                <w:b/>
                <w:bCs/>
                <w:color w:val="000000"/>
                <w:lang w:eastAsia="en-GB"/>
              </w:rPr>
              <w:t>(£) – 201</w:t>
            </w:r>
            <w:r>
              <w:rPr>
                <w:rFonts w:cs="Arial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4C7C78" w14:textId="77777777" w:rsidR="00B23A31" w:rsidRPr="003236DC" w:rsidRDefault="00B23A31" w:rsidP="00B23A3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36DC">
              <w:rPr>
                <w:rFonts w:cs="Arial"/>
                <w:b/>
                <w:bCs/>
                <w:color w:val="000000"/>
                <w:lang w:eastAsia="en-GB"/>
              </w:rPr>
              <w:t>(£) – 20</w:t>
            </w:r>
            <w:r>
              <w:rPr>
                <w:rFonts w:cs="Arial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45F9AE1" w14:textId="66D90C5A" w:rsidR="00B23A31" w:rsidRPr="003236DC" w:rsidRDefault="00B23A31" w:rsidP="00B23A3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36DC">
              <w:rPr>
                <w:rFonts w:cs="Arial"/>
                <w:b/>
                <w:bCs/>
                <w:color w:val="000000"/>
                <w:lang w:eastAsia="en-GB"/>
              </w:rPr>
              <w:t>(£) – 20</w:t>
            </w:r>
            <w:r>
              <w:rPr>
                <w:rFonts w:cs="Arial"/>
                <w:b/>
                <w:bCs/>
                <w:color w:val="000000"/>
                <w:lang w:eastAsia="en-GB"/>
              </w:rPr>
              <w:t>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DB06A2E" w14:textId="4EFC4098" w:rsidR="00B23A31" w:rsidRPr="003236DC" w:rsidRDefault="00B23A31" w:rsidP="00B23A3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36DC">
              <w:rPr>
                <w:rFonts w:cs="Arial"/>
                <w:b/>
                <w:bCs/>
                <w:color w:val="000000"/>
                <w:lang w:eastAsia="en-GB"/>
              </w:rPr>
              <w:t>(£) – 20</w:t>
            </w:r>
            <w:r>
              <w:rPr>
                <w:rFonts w:cs="Arial"/>
                <w:b/>
                <w:bCs/>
                <w:color w:val="000000"/>
                <w:lang w:eastAsia="en-GB"/>
              </w:rPr>
              <w:t>22</w:t>
            </w:r>
          </w:p>
        </w:tc>
      </w:tr>
      <w:tr w:rsidR="00A0212A" w:rsidRPr="003236DC" w14:paraId="5F4F701B" w14:textId="27C0ECFB" w:rsidTr="00C03898">
        <w:trPr>
          <w:trHeight w:val="600"/>
        </w:trPr>
        <w:tc>
          <w:tcPr>
            <w:tcW w:w="11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CAD43" w14:textId="77777777" w:rsidR="00A0212A" w:rsidRPr="003236DC" w:rsidRDefault="00A0212A" w:rsidP="00A0212A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36DC">
              <w:rPr>
                <w:rFonts w:cs="Arial"/>
                <w:b/>
                <w:bCs/>
                <w:color w:val="000000"/>
                <w:lang w:eastAsia="en-GB"/>
              </w:rPr>
              <w:t>E3 and Higher – 5&amp;6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9FBEFA" w14:textId="77777777" w:rsidR="00A0212A" w:rsidRPr="003236DC" w:rsidRDefault="00A0212A" w:rsidP="00A0212A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36DC">
              <w:rPr>
                <w:rFonts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296271" w14:textId="1B260B60" w:rsidR="00A0212A" w:rsidRPr="003236DC" w:rsidRDefault="00A0212A" w:rsidP="00A0212A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3236DC">
              <w:rPr>
                <w:rFonts w:cs="Arial"/>
                <w:color w:val="000000"/>
                <w:lang w:eastAsia="en-GB"/>
              </w:rPr>
              <w:t>£4</w:t>
            </w:r>
            <w:r>
              <w:rPr>
                <w:rFonts w:cs="Arial"/>
                <w:color w:val="000000"/>
                <w:lang w:eastAsia="en-GB"/>
              </w:rPr>
              <w:t>5</w:t>
            </w:r>
            <w:r w:rsidRPr="003236DC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537</w:t>
            </w:r>
            <w:r w:rsidRPr="003236DC">
              <w:rPr>
                <w:rFonts w:cs="Arial"/>
                <w:color w:val="000000"/>
                <w:lang w:eastAsia="en-GB"/>
              </w:rPr>
              <w:t>-£4</w:t>
            </w:r>
            <w:r>
              <w:rPr>
                <w:rFonts w:cs="Arial"/>
                <w:color w:val="000000"/>
                <w:lang w:eastAsia="en-GB"/>
              </w:rPr>
              <w:t>9,506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B2540F" w14:textId="1826ED5B" w:rsidR="00A0212A" w:rsidRPr="003236DC" w:rsidRDefault="00A0212A" w:rsidP="00A0212A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3236DC">
              <w:rPr>
                <w:rFonts w:cs="Arial"/>
                <w:color w:val="000000"/>
                <w:lang w:eastAsia="en-GB"/>
              </w:rPr>
              <w:t>£4</w:t>
            </w:r>
            <w:r>
              <w:rPr>
                <w:rFonts w:cs="Arial"/>
                <w:color w:val="000000"/>
                <w:lang w:eastAsia="en-GB"/>
              </w:rPr>
              <w:t>6</w:t>
            </w:r>
            <w:r w:rsidRPr="003236DC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448</w:t>
            </w:r>
            <w:r w:rsidRPr="003236DC">
              <w:rPr>
                <w:rFonts w:cs="Arial"/>
                <w:color w:val="000000"/>
                <w:lang w:eastAsia="en-GB"/>
              </w:rPr>
              <w:t>-£</w:t>
            </w:r>
            <w:r>
              <w:rPr>
                <w:rFonts w:cs="Arial"/>
                <w:color w:val="000000"/>
                <w:lang w:eastAsia="en-GB"/>
              </w:rPr>
              <w:t>50</w:t>
            </w:r>
            <w:r w:rsidRPr="003236DC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496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6BA0C2A" w14:textId="3F37FE16" w:rsidR="00A0212A" w:rsidRPr="003236DC" w:rsidRDefault="00A0212A" w:rsidP="00A0212A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3236DC">
              <w:rPr>
                <w:rFonts w:cs="Arial"/>
                <w:color w:val="000000"/>
                <w:lang w:eastAsia="en-GB"/>
              </w:rPr>
              <w:t>£4</w:t>
            </w:r>
            <w:r>
              <w:rPr>
                <w:rFonts w:cs="Arial"/>
                <w:color w:val="000000"/>
                <w:lang w:eastAsia="en-GB"/>
              </w:rPr>
              <w:t>6</w:t>
            </w:r>
            <w:r w:rsidRPr="003236DC">
              <w:rPr>
                <w:rFonts w:cs="Arial"/>
                <w:color w:val="000000"/>
                <w:lang w:eastAsia="en-GB"/>
              </w:rPr>
              <w:t>,</w:t>
            </w:r>
            <w:r w:rsidR="009B00A6">
              <w:rPr>
                <w:rFonts w:cs="Arial"/>
                <w:color w:val="000000"/>
                <w:lang w:eastAsia="en-GB"/>
              </w:rPr>
              <w:t>912</w:t>
            </w:r>
            <w:r w:rsidRPr="003236DC">
              <w:rPr>
                <w:rFonts w:cs="Arial"/>
                <w:color w:val="000000"/>
                <w:lang w:eastAsia="en-GB"/>
              </w:rPr>
              <w:t>-£</w:t>
            </w:r>
            <w:r>
              <w:rPr>
                <w:rFonts w:cs="Arial"/>
                <w:color w:val="000000"/>
                <w:lang w:eastAsia="en-GB"/>
              </w:rPr>
              <w:t>5</w:t>
            </w:r>
            <w:r w:rsidR="009B00A6">
              <w:rPr>
                <w:rFonts w:cs="Arial"/>
                <w:color w:val="000000"/>
                <w:lang w:eastAsia="en-GB"/>
              </w:rPr>
              <w:t>1</w:t>
            </w:r>
            <w:r w:rsidRPr="003236DC">
              <w:rPr>
                <w:rFonts w:cs="Arial"/>
                <w:color w:val="000000"/>
                <w:lang w:eastAsia="en-GB"/>
              </w:rPr>
              <w:t>,</w:t>
            </w:r>
            <w:r w:rsidR="009B00A6">
              <w:rPr>
                <w:rFonts w:cs="Arial"/>
                <w:color w:val="000000"/>
                <w:lang w:eastAsia="en-GB"/>
              </w:rPr>
              <w:t>001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F501700" w14:textId="088E8E0D" w:rsidR="00A0212A" w:rsidRPr="003236DC" w:rsidRDefault="00A0212A" w:rsidP="00A0212A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3236DC">
              <w:rPr>
                <w:rFonts w:cs="Arial"/>
                <w:color w:val="000000"/>
                <w:lang w:eastAsia="en-GB"/>
              </w:rPr>
              <w:t>£4</w:t>
            </w:r>
            <w:r w:rsidR="009B00A6">
              <w:rPr>
                <w:rFonts w:cs="Arial"/>
                <w:color w:val="000000"/>
                <w:lang w:eastAsia="en-GB"/>
              </w:rPr>
              <w:t>7</w:t>
            </w:r>
            <w:r w:rsidR="004851E1">
              <w:rPr>
                <w:rFonts w:cs="Arial"/>
                <w:color w:val="000000"/>
                <w:lang w:eastAsia="en-GB"/>
              </w:rPr>
              <w:t>,</w:t>
            </w:r>
            <w:r w:rsidR="009B00A6">
              <w:rPr>
                <w:rFonts w:cs="Arial"/>
                <w:color w:val="000000"/>
                <w:lang w:eastAsia="en-GB"/>
              </w:rPr>
              <w:t>381</w:t>
            </w:r>
            <w:r w:rsidRPr="003236DC">
              <w:rPr>
                <w:rFonts w:cs="Arial"/>
                <w:color w:val="000000"/>
                <w:lang w:eastAsia="en-GB"/>
              </w:rPr>
              <w:t>-£</w:t>
            </w:r>
            <w:r>
              <w:rPr>
                <w:rFonts w:cs="Arial"/>
                <w:color w:val="000000"/>
                <w:lang w:eastAsia="en-GB"/>
              </w:rPr>
              <w:t>5</w:t>
            </w:r>
            <w:r w:rsidR="004851E1">
              <w:rPr>
                <w:rFonts w:cs="Arial"/>
                <w:color w:val="000000"/>
                <w:lang w:eastAsia="en-GB"/>
              </w:rPr>
              <w:t>1</w:t>
            </w:r>
            <w:r w:rsidRPr="003236DC">
              <w:rPr>
                <w:rFonts w:cs="Arial"/>
                <w:color w:val="000000"/>
                <w:lang w:eastAsia="en-GB"/>
              </w:rPr>
              <w:t>,</w:t>
            </w:r>
            <w:r w:rsidR="004851E1">
              <w:rPr>
                <w:rFonts w:cs="Arial"/>
                <w:color w:val="000000"/>
                <w:lang w:eastAsia="en-GB"/>
              </w:rPr>
              <w:t>511</w:t>
            </w:r>
          </w:p>
        </w:tc>
      </w:tr>
      <w:tr w:rsidR="00A0212A" w:rsidRPr="003236DC" w14:paraId="7161EA0B" w14:textId="6F0FBEE1" w:rsidTr="00C03898">
        <w:trPr>
          <w:trHeight w:val="306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8C9F8B" w14:textId="77777777" w:rsidR="00A0212A" w:rsidRPr="003236DC" w:rsidRDefault="00A0212A" w:rsidP="00A0212A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3236DC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D141E7" w14:textId="77777777" w:rsidR="00A0212A" w:rsidRPr="003236DC" w:rsidRDefault="00A0212A" w:rsidP="00A0212A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36DC">
              <w:rPr>
                <w:rFonts w:cs="Arial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0231CD" w14:textId="77777777" w:rsidR="00A0212A" w:rsidRPr="003236DC" w:rsidRDefault="00A0212A" w:rsidP="00A0212A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3236DC">
              <w:rPr>
                <w:rFonts w:cs="Arial"/>
                <w:color w:val="000000"/>
                <w:lang w:eastAsia="en-GB"/>
              </w:rPr>
              <w:t>£4</w:t>
            </w:r>
            <w:r>
              <w:rPr>
                <w:rFonts w:cs="Arial"/>
                <w:color w:val="000000"/>
                <w:lang w:eastAsia="en-GB"/>
              </w:rPr>
              <w:t>6</w:t>
            </w:r>
            <w:r w:rsidRPr="003236DC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869</w:t>
            </w:r>
            <w:r w:rsidRPr="003236DC">
              <w:rPr>
                <w:rFonts w:cs="Arial"/>
                <w:color w:val="000000"/>
                <w:lang w:eastAsia="en-GB"/>
              </w:rPr>
              <w:t>- £</w:t>
            </w:r>
            <w:r>
              <w:rPr>
                <w:rFonts w:cs="Arial"/>
                <w:color w:val="000000"/>
                <w:lang w:eastAsia="en-GB"/>
              </w:rPr>
              <w:t>50,839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3D5139" w14:textId="77777777" w:rsidR="00A0212A" w:rsidRPr="003236DC" w:rsidRDefault="00A0212A" w:rsidP="00A0212A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3236DC">
              <w:rPr>
                <w:rFonts w:cs="Arial"/>
                <w:color w:val="000000"/>
                <w:lang w:eastAsia="en-GB"/>
              </w:rPr>
              <w:t>£4</w:t>
            </w:r>
            <w:r>
              <w:rPr>
                <w:rFonts w:cs="Arial"/>
                <w:color w:val="000000"/>
                <w:lang w:eastAsia="en-GB"/>
              </w:rPr>
              <w:t>7</w:t>
            </w:r>
            <w:r w:rsidRPr="003236DC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806</w:t>
            </w:r>
            <w:r w:rsidRPr="003236DC">
              <w:rPr>
                <w:rFonts w:cs="Arial"/>
                <w:color w:val="000000"/>
                <w:lang w:eastAsia="en-GB"/>
              </w:rPr>
              <w:t>- £</w:t>
            </w:r>
            <w:r>
              <w:rPr>
                <w:rFonts w:cs="Arial"/>
                <w:color w:val="000000"/>
                <w:lang w:eastAsia="en-GB"/>
              </w:rPr>
              <w:t>51,856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06FB2BB" w14:textId="2FA76675" w:rsidR="00A0212A" w:rsidRPr="003236DC" w:rsidRDefault="00A0212A" w:rsidP="00A0212A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3236DC">
              <w:rPr>
                <w:rFonts w:cs="Arial"/>
                <w:color w:val="000000"/>
                <w:lang w:eastAsia="en-GB"/>
              </w:rPr>
              <w:t>£4</w:t>
            </w:r>
            <w:r w:rsidR="005150E3">
              <w:rPr>
                <w:rFonts w:cs="Arial"/>
                <w:color w:val="000000"/>
                <w:lang w:eastAsia="en-GB"/>
              </w:rPr>
              <w:t>8</w:t>
            </w:r>
            <w:r w:rsidRPr="003236DC">
              <w:rPr>
                <w:rFonts w:cs="Arial"/>
                <w:color w:val="000000"/>
                <w:lang w:eastAsia="en-GB"/>
              </w:rPr>
              <w:t>,</w:t>
            </w:r>
            <w:r w:rsidR="005150E3">
              <w:rPr>
                <w:rFonts w:cs="Arial"/>
                <w:color w:val="000000"/>
                <w:lang w:eastAsia="en-GB"/>
              </w:rPr>
              <w:t>284</w:t>
            </w:r>
            <w:r w:rsidRPr="003236DC">
              <w:rPr>
                <w:rFonts w:cs="Arial"/>
                <w:color w:val="000000"/>
                <w:lang w:eastAsia="en-GB"/>
              </w:rPr>
              <w:t>- £</w:t>
            </w:r>
            <w:r>
              <w:rPr>
                <w:rFonts w:cs="Arial"/>
                <w:color w:val="000000"/>
                <w:lang w:eastAsia="en-GB"/>
              </w:rPr>
              <w:t>5</w:t>
            </w:r>
            <w:r w:rsidR="00274B0D">
              <w:rPr>
                <w:rFonts w:cs="Arial"/>
                <w:color w:val="000000"/>
                <w:lang w:eastAsia="en-GB"/>
              </w:rPr>
              <w:t>2</w:t>
            </w:r>
            <w:r>
              <w:rPr>
                <w:rFonts w:cs="Arial"/>
                <w:color w:val="000000"/>
                <w:lang w:eastAsia="en-GB"/>
              </w:rPr>
              <w:t>,</w:t>
            </w:r>
            <w:r w:rsidR="00274B0D">
              <w:rPr>
                <w:rFonts w:cs="Arial"/>
                <w:color w:val="000000"/>
                <w:lang w:eastAsia="en-GB"/>
              </w:rPr>
              <w:t>375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1ABC97" w14:textId="598A4419" w:rsidR="00A0212A" w:rsidRPr="003236DC" w:rsidRDefault="00A0212A" w:rsidP="00A0212A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3236DC">
              <w:rPr>
                <w:rFonts w:cs="Arial"/>
                <w:color w:val="000000"/>
                <w:lang w:eastAsia="en-GB"/>
              </w:rPr>
              <w:t>£4</w:t>
            </w:r>
            <w:r w:rsidR="00F649DC">
              <w:rPr>
                <w:rFonts w:cs="Arial"/>
                <w:color w:val="000000"/>
                <w:lang w:eastAsia="en-GB"/>
              </w:rPr>
              <w:t>8</w:t>
            </w:r>
            <w:r w:rsidRPr="003236DC">
              <w:rPr>
                <w:rFonts w:cs="Arial"/>
                <w:color w:val="000000"/>
                <w:lang w:eastAsia="en-GB"/>
              </w:rPr>
              <w:t>,</w:t>
            </w:r>
            <w:r w:rsidR="00F649DC">
              <w:rPr>
                <w:rFonts w:cs="Arial"/>
                <w:color w:val="000000"/>
                <w:lang w:eastAsia="en-GB"/>
              </w:rPr>
              <w:t>767</w:t>
            </w:r>
            <w:r w:rsidRPr="003236DC">
              <w:rPr>
                <w:rFonts w:cs="Arial"/>
                <w:color w:val="000000"/>
                <w:lang w:eastAsia="en-GB"/>
              </w:rPr>
              <w:t>- £</w:t>
            </w:r>
            <w:r>
              <w:rPr>
                <w:rFonts w:cs="Arial"/>
                <w:color w:val="000000"/>
                <w:lang w:eastAsia="en-GB"/>
              </w:rPr>
              <w:t>5</w:t>
            </w:r>
            <w:r w:rsidR="00F649DC">
              <w:rPr>
                <w:rFonts w:cs="Arial"/>
                <w:color w:val="000000"/>
                <w:lang w:eastAsia="en-GB"/>
              </w:rPr>
              <w:t>2</w:t>
            </w:r>
            <w:r>
              <w:rPr>
                <w:rFonts w:cs="Arial"/>
                <w:color w:val="000000"/>
                <w:lang w:eastAsia="en-GB"/>
              </w:rPr>
              <w:t>,8</w:t>
            </w:r>
            <w:r w:rsidR="00F649DC">
              <w:rPr>
                <w:rFonts w:cs="Arial"/>
                <w:color w:val="000000"/>
                <w:lang w:eastAsia="en-GB"/>
              </w:rPr>
              <w:t>99</w:t>
            </w:r>
          </w:p>
        </w:tc>
      </w:tr>
    </w:tbl>
    <w:p w14:paraId="545CAF3E" w14:textId="77777777" w:rsidR="00342CF3" w:rsidRDefault="00342CF3" w:rsidP="00AA20FB"/>
    <w:p w14:paraId="02BBB21F" w14:textId="13B7E2E0" w:rsidR="00B3483F" w:rsidRDefault="00AA20FB" w:rsidP="00B3483F">
      <w:pPr>
        <w:ind w:left="770" w:hanging="770"/>
        <w:jc w:val="both"/>
      </w:pPr>
      <w:r>
        <w:rPr>
          <w:b/>
        </w:rPr>
        <w:t>Note:</w:t>
      </w:r>
      <w:r>
        <w:tab/>
        <w:t>Th</w:t>
      </w:r>
      <w:r w:rsidR="00852214">
        <w:t>ese scales do</w:t>
      </w:r>
      <w:r w:rsidR="00BA6EB6">
        <w:t xml:space="preserve"> not show </w:t>
      </w:r>
      <w:r w:rsidR="00BA6EB6" w:rsidRPr="00A86F0B">
        <w:t xml:space="preserve">the </w:t>
      </w:r>
      <w:r w:rsidR="000666FD">
        <w:t>£2,</w:t>
      </w:r>
      <w:r w:rsidR="00DB70F3">
        <w:t>801</w:t>
      </w:r>
      <w:r w:rsidR="000666FD">
        <w:t xml:space="preserve"> (September 20</w:t>
      </w:r>
      <w:r w:rsidR="00DB70F3">
        <w:t>21</w:t>
      </w:r>
      <w:r w:rsidR="002F58F3">
        <w:t>)</w:t>
      </w:r>
      <w:r w:rsidR="001C5591">
        <w:t>/</w:t>
      </w:r>
      <w:r w:rsidR="00BA6EB6" w:rsidRPr="00A86F0B">
        <w:t>£2,</w:t>
      </w:r>
      <w:r w:rsidR="00DB70F3">
        <w:t>829</w:t>
      </w:r>
      <w:r w:rsidRPr="00A86F0B">
        <w:t xml:space="preserve"> </w:t>
      </w:r>
      <w:r w:rsidR="000666FD">
        <w:t>(September 20</w:t>
      </w:r>
      <w:r w:rsidR="001B36D6">
        <w:t>2</w:t>
      </w:r>
      <w:r w:rsidR="00DB70F3">
        <w:t>2</w:t>
      </w:r>
      <w:r w:rsidR="000666FD">
        <w:t xml:space="preserve">) </w:t>
      </w:r>
      <w:r w:rsidRPr="00A86F0B">
        <w:t>payment</w:t>
      </w:r>
      <w:r>
        <w:t xml:space="preserve"> for lecturers on the Principal Lecturer scale who apply for and are awarded a Threshold payment or who have carried such payment from another scale.</w:t>
      </w:r>
      <w:r w:rsidR="00B3483F" w:rsidRPr="00B3483F">
        <w:t xml:space="preserve"> </w:t>
      </w:r>
    </w:p>
    <w:p w14:paraId="75AD0582" w14:textId="77777777" w:rsidR="00AA20FB" w:rsidRDefault="00AA20FB" w:rsidP="00AA20FB">
      <w:pPr>
        <w:ind w:left="770" w:hanging="770"/>
        <w:jc w:val="both"/>
      </w:pPr>
    </w:p>
    <w:p w14:paraId="21E1A13A" w14:textId="77777777" w:rsidR="00AA20FB" w:rsidRPr="00342CF3" w:rsidRDefault="0010023A" w:rsidP="00342CF3">
      <w:pPr>
        <w:numPr>
          <w:ilvl w:val="0"/>
          <w:numId w:val="4"/>
        </w:numPr>
        <w:tabs>
          <w:tab w:val="clear" w:pos="1080"/>
        </w:tabs>
        <w:ind w:left="709"/>
        <w:rPr>
          <w:b/>
        </w:rPr>
      </w:pPr>
      <w:r>
        <w:rPr>
          <w:b/>
        </w:rPr>
        <w:br w:type="page"/>
      </w:r>
      <w:r w:rsidR="00AA20FB" w:rsidRPr="00342CF3">
        <w:rPr>
          <w:b/>
        </w:rPr>
        <w:lastRenderedPageBreak/>
        <w:t>Heads of Departments</w:t>
      </w:r>
    </w:p>
    <w:p w14:paraId="67F30117" w14:textId="77777777" w:rsidR="00AA20FB" w:rsidRDefault="00AA20FB" w:rsidP="00AA20FB"/>
    <w:p w14:paraId="707DB315" w14:textId="77777777" w:rsidR="00892EFF" w:rsidRDefault="00892EFF" w:rsidP="00AA20FB"/>
    <w:tbl>
      <w:tblPr>
        <w:tblW w:w="1104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24"/>
        <w:gridCol w:w="851"/>
        <w:gridCol w:w="2268"/>
        <w:gridCol w:w="2268"/>
        <w:gridCol w:w="2268"/>
        <w:gridCol w:w="2268"/>
      </w:tblGrid>
      <w:tr w:rsidR="00977B5F" w:rsidRPr="00892EFF" w14:paraId="5A8E3A73" w14:textId="5247D0A2" w:rsidTr="00CA1584">
        <w:trPr>
          <w:trHeight w:val="564"/>
        </w:trPr>
        <w:tc>
          <w:tcPr>
            <w:tcW w:w="112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4C23C4" w14:textId="77777777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lang w:eastAsia="en-GB"/>
              </w:rPr>
              <w:t>College Size Group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04E8DA" w14:textId="77777777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sz w:val="22"/>
                <w:lang w:eastAsia="en-GB"/>
              </w:rPr>
              <w:t>Scale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A6F02" w14:textId="77777777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sz w:val="22"/>
                <w:lang w:eastAsia="en-GB"/>
              </w:rPr>
              <w:t>Range of Points on Scale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17BDA" w14:textId="77777777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sz w:val="22"/>
                <w:lang w:eastAsia="en-GB"/>
              </w:rPr>
              <w:t>Range of Points on Scale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98ED6F6" w14:textId="2DAA1847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sz w:val="22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sz w:val="22"/>
                <w:lang w:eastAsia="en-GB"/>
              </w:rPr>
              <w:t>Range of Points on Scale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81BA84D" w14:textId="6D7F37FA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sz w:val="22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sz w:val="22"/>
                <w:lang w:eastAsia="en-GB"/>
              </w:rPr>
              <w:t>Range of Points on Scale</w:t>
            </w:r>
          </w:p>
        </w:tc>
      </w:tr>
      <w:tr w:rsidR="00977B5F" w:rsidRPr="00892EFF" w14:paraId="51C13214" w14:textId="3D41E059" w:rsidTr="00CA1584">
        <w:trPr>
          <w:trHeight w:val="294"/>
        </w:trPr>
        <w:tc>
          <w:tcPr>
            <w:tcW w:w="112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53CAC" w14:textId="77777777" w:rsidR="00977B5F" w:rsidRPr="00892EFF" w:rsidRDefault="00977B5F" w:rsidP="00977B5F">
            <w:pPr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D565BB" w14:textId="77777777" w:rsidR="00977B5F" w:rsidRPr="00892EFF" w:rsidRDefault="00977B5F" w:rsidP="00977B5F">
            <w:pPr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87AAA" w14:textId="1F856DC5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sz w:val="22"/>
                <w:lang w:eastAsia="en-GB"/>
              </w:rPr>
              <w:t>(£) - 201</w:t>
            </w:r>
            <w:r>
              <w:rPr>
                <w:rFonts w:cs="Arial"/>
                <w:b/>
                <w:bCs/>
                <w:color w:val="000000"/>
                <w:sz w:val="22"/>
                <w:lang w:eastAsia="en-GB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269F61" w14:textId="0C5A2F76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sz w:val="22"/>
                <w:lang w:eastAsia="en-GB"/>
              </w:rPr>
              <w:t>(£) - 20</w:t>
            </w:r>
            <w:r>
              <w:rPr>
                <w:rFonts w:cs="Arial"/>
                <w:b/>
                <w:bCs/>
                <w:color w:val="000000"/>
                <w:sz w:val="22"/>
                <w:lang w:eastAsia="en-GB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E65B09" w14:textId="774AFF9C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sz w:val="22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sz w:val="22"/>
                <w:lang w:eastAsia="en-GB"/>
              </w:rPr>
              <w:t>(£) - 20</w:t>
            </w:r>
            <w:r>
              <w:rPr>
                <w:rFonts w:cs="Arial"/>
                <w:b/>
                <w:bCs/>
                <w:color w:val="000000"/>
                <w:sz w:val="22"/>
                <w:lang w:eastAsia="en-GB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3488CE0" w14:textId="26E458E2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sz w:val="22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sz w:val="22"/>
                <w:lang w:eastAsia="en-GB"/>
              </w:rPr>
              <w:t>(£) - 20</w:t>
            </w:r>
            <w:r>
              <w:rPr>
                <w:rFonts w:cs="Arial"/>
                <w:b/>
                <w:bCs/>
                <w:color w:val="000000"/>
                <w:sz w:val="22"/>
                <w:lang w:eastAsia="en-GB"/>
              </w:rPr>
              <w:t>22</w:t>
            </w:r>
          </w:p>
        </w:tc>
      </w:tr>
      <w:tr w:rsidR="00977B5F" w:rsidRPr="00892EFF" w14:paraId="70629CCB" w14:textId="0A60A38B" w:rsidTr="00CA1584">
        <w:trPr>
          <w:trHeight w:val="53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AAFEC1" w14:textId="77777777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C3BFB" w14:textId="77777777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E8375D" w14:textId="77777777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A0E956" w14:textId="77777777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553179B" w14:textId="457D79A7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86EB262" w14:textId="63851039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 </w:t>
            </w:r>
          </w:p>
        </w:tc>
      </w:tr>
      <w:tr w:rsidR="00977B5F" w:rsidRPr="00892EFF" w14:paraId="648089F0" w14:textId="5EAFDC66" w:rsidTr="00CA1584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225FFFA" w14:textId="77777777" w:rsidR="00977B5F" w:rsidRPr="00892EFF" w:rsidRDefault="00977B5F" w:rsidP="00977B5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D9CBF2" w14:textId="77777777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86784" w14:textId="2100B197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£4</w:t>
            </w:r>
            <w:r>
              <w:rPr>
                <w:rFonts w:cs="Arial"/>
                <w:color w:val="000000"/>
                <w:lang w:eastAsia="en-GB"/>
              </w:rPr>
              <w:t>8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177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£5</w:t>
            </w:r>
            <w:r>
              <w:rPr>
                <w:rFonts w:cs="Arial"/>
                <w:color w:val="000000"/>
                <w:lang w:eastAsia="en-GB"/>
              </w:rPr>
              <w:t>2,158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17FA83" w14:textId="310966C4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£4</w:t>
            </w:r>
            <w:r>
              <w:rPr>
                <w:rFonts w:cs="Arial"/>
                <w:color w:val="000000"/>
                <w:lang w:eastAsia="en-GB"/>
              </w:rPr>
              <w:t>9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141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£5</w:t>
            </w:r>
            <w:r>
              <w:rPr>
                <w:rFonts w:cs="Arial"/>
                <w:color w:val="000000"/>
                <w:lang w:eastAsia="en-GB"/>
              </w:rPr>
              <w:t>3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201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A491E2" w14:textId="627A907E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£4</w:t>
            </w:r>
            <w:r>
              <w:rPr>
                <w:rFonts w:cs="Arial"/>
                <w:color w:val="000000"/>
                <w:lang w:eastAsia="en-GB"/>
              </w:rPr>
              <w:t>9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7D7593">
              <w:rPr>
                <w:rFonts w:cs="Arial"/>
                <w:color w:val="000000"/>
                <w:lang w:eastAsia="en-GB"/>
              </w:rPr>
              <w:t>632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£5</w:t>
            </w:r>
            <w:r>
              <w:rPr>
                <w:rFonts w:cs="Arial"/>
                <w:color w:val="000000"/>
                <w:lang w:eastAsia="en-GB"/>
              </w:rPr>
              <w:t>3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855147">
              <w:rPr>
                <w:rFonts w:cs="Arial"/>
                <w:color w:val="000000"/>
                <w:lang w:eastAsia="en-GB"/>
              </w:rPr>
              <w:t>733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BA710FF" w14:textId="2B8BA702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</w:t>
            </w:r>
            <w:r w:rsidR="008A2AEB">
              <w:rPr>
                <w:rFonts w:cs="Arial"/>
                <w:color w:val="000000"/>
                <w:lang w:eastAsia="en-GB"/>
              </w:rPr>
              <w:t>50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8A2AEB">
              <w:rPr>
                <w:rFonts w:cs="Arial"/>
                <w:color w:val="000000"/>
                <w:lang w:eastAsia="en-GB"/>
              </w:rPr>
              <w:t>128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£5</w:t>
            </w:r>
            <w:r w:rsidR="00F817A1">
              <w:rPr>
                <w:rFonts w:cs="Arial"/>
                <w:color w:val="000000"/>
                <w:lang w:eastAsia="en-GB"/>
              </w:rPr>
              <w:t>4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2</w:t>
            </w:r>
            <w:r w:rsidR="00F817A1">
              <w:rPr>
                <w:rFonts w:cs="Arial"/>
                <w:color w:val="000000"/>
                <w:lang w:eastAsia="en-GB"/>
              </w:rPr>
              <w:t>70</w:t>
            </w:r>
          </w:p>
        </w:tc>
      </w:tr>
      <w:tr w:rsidR="00977B5F" w:rsidRPr="00892EFF" w14:paraId="6935A1AF" w14:textId="432B33D3" w:rsidTr="00CA1584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3238A217" w14:textId="77777777" w:rsidR="00977B5F" w:rsidRPr="00892EFF" w:rsidRDefault="00977B5F" w:rsidP="00977B5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F2765" w14:textId="77777777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411263" w14:textId="7F63A814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£4</w:t>
            </w:r>
            <w:r>
              <w:rPr>
                <w:rFonts w:cs="Arial"/>
                <w:color w:val="000000"/>
                <w:lang w:eastAsia="en-GB"/>
              </w:rPr>
              <w:t>9</w:t>
            </w:r>
            <w:r w:rsidRPr="00892EFF">
              <w:rPr>
                <w:rFonts w:cs="Arial"/>
                <w:color w:val="000000"/>
                <w:lang w:eastAsia="en-GB"/>
              </w:rPr>
              <w:t>,5</w:t>
            </w:r>
            <w:r>
              <w:rPr>
                <w:rFonts w:cs="Arial"/>
                <w:color w:val="000000"/>
                <w:lang w:eastAsia="en-GB"/>
              </w:rPr>
              <w:t>06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£5</w:t>
            </w:r>
            <w:r>
              <w:rPr>
                <w:rFonts w:cs="Arial"/>
                <w:color w:val="000000"/>
                <w:lang w:eastAsia="en-GB"/>
              </w:rPr>
              <w:t>3</w:t>
            </w:r>
            <w:r w:rsidRPr="00892EFF">
              <w:rPr>
                <w:rFonts w:cs="Arial"/>
                <w:color w:val="000000"/>
                <w:lang w:eastAsia="en-GB"/>
              </w:rPr>
              <w:t>,4</w:t>
            </w:r>
            <w:r>
              <w:rPr>
                <w:rFonts w:cs="Arial"/>
                <w:color w:val="000000"/>
                <w:lang w:eastAsia="en-GB"/>
              </w:rPr>
              <w:t>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6B0DE4" w14:textId="424E3E7A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</w:t>
            </w:r>
            <w:r>
              <w:rPr>
                <w:rFonts w:cs="Arial"/>
                <w:color w:val="000000"/>
                <w:lang w:eastAsia="en-GB"/>
              </w:rPr>
              <w:t>50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 xml:space="preserve">496 </w:t>
            </w:r>
            <w:r w:rsidRPr="00892EFF">
              <w:rPr>
                <w:rFonts w:cs="Arial"/>
                <w:color w:val="000000"/>
                <w:lang w:eastAsia="en-GB"/>
              </w:rPr>
              <w:t>- £5</w:t>
            </w:r>
            <w:r>
              <w:rPr>
                <w:rFonts w:cs="Arial"/>
                <w:color w:val="000000"/>
                <w:lang w:eastAsia="en-GB"/>
              </w:rPr>
              <w:t>4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558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E12A1A8" w14:textId="28E38D7C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</w:t>
            </w:r>
            <w:r>
              <w:rPr>
                <w:rFonts w:cs="Arial"/>
                <w:color w:val="000000"/>
                <w:lang w:eastAsia="en-GB"/>
              </w:rPr>
              <w:t>5</w:t>
            </w:r>
            <w:r w:rsidR="003A0A9B">
              <w:rPr>
                <w:rFonts w:cs="Arial"/>
                <w:color w:val="000000"/>
                <w:lang w:eastAsia="en-GB"/>
              </w:rPr>
              <w:t>1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3A0A9B">
              <w:rPr>
                <w:rFonts w:cs="Arial"/>
                <w:color w:val="000000"/>
                <w:lang w:eastAsia="en-GB"/>
              </w:rPr>
              <w:t>001</w:t>
            </w:r>
            <w:r>
              <w:rPr>
                <w:rFonts w:cs="Arial"/>
                <w:color w:val="000000"/>
                <w:lang w:eastAsia="en-GB"/>
              </w:rPr>
              <w:t xml:space="preserve"> </w:t>
            </w:r>
            <w:r w:rsidRPr="00892EFF">
              <w:rPr>
                <w:rFonts w:cs="Arial"/>
                <w:color w:val="000000"/>
                <w:lang w:eastAsia="en-GB"/>
              </w:rPr>
              <w:t>- £5</w:t>
            </w:r>
            <w:r w:rsidR="004C2871">
              <w:rPr>
                <w:rFonts w:cs="Arial"/>
                <w:color w:val="000000"/>
                <w:lang w:eastAsia="en-GB"/>
              </w:rPr>
              <w:t>5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4C2871">
              <w:rPr>
                <w:rFonts w:cs="Arial"/>
                <w:color w:val="000000"/>
                <w:lang w:eastAsia="en-GB"/>
              </w:rPr>
              <w:t>104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B7008DB" w14:textId="7EE31D74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</w:t>
            </w:r>
            <w:r>
              <w:rPr>
                <w:rFonts w:cs="Arial"/>
                <w:color w:val="000000"/>
                <w:lang w:eastAsia="en-GB"/>
              </w:rPr>
              <w:t>5</w:t>
            </w:r>
            <w:r w:rsidR="008A2AEB">
              <w:rPr>
                <w:rFonts w:cs="Arial"/>
                <w:color w:val="000000"/>
                <w:lang w:eastAsia="en-GB"/>
              </w:rPr>
              <w:t>1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8A2AEB">
              <w:rPr>
                <w:rFonts w:cs="Arial"/>
                <w:color w:val="000000"/>
                <w:lang w:eastAsia="en-GB"/>
              </w:rPr>
              <w:t>511</w:t>
            </w:r>
            <w:r>
              <w:rPr>
                <w:rFonts w:cs="Arial"/>
                <w:color w:val="000000"/>
                <w:lang w:eastAsia="en-GB"/>
              </w:rPr>
              <w:t xml:space="preserve"> </w:t>
            </w:r>
            <w:r w:rsidRPr="00892EFF">
              <w:rPr>
                <w:rFonts w:cs="Arial"/>
                <w:color w:val="000000"/>
                <w:lang w:eastAsia="en-GB"/>
              </w:rPr>
              <w:t>- £5</w:t>
            </w:r>
            <w:r w:rsidR="00A7614E">
              <w:rPr>
                <w:rFonts w:cs="Arial"/>
                <w:color w:val="000000"/>
                <w:lang w:eastAsia="en-GB"/>
              </w:rPr>
              <w:t>5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A7614E">
              <w:rPr>
                <w:rFonts w:cs="Arial"/>
                <w:color w:val="000000"/>
                <w:lang w:eastAsia="en-GB"/>
              </w:rPr>
              <w:t>655</w:t>
            </w:r>
          </w:p>
        </w:tc>
      </w:tr>
      <w:tr w:rsidR="00977B5F" w:rsidRPr="00892EFF" w14:paraId="3803CFAC" w14:textId="0817B248" w:rsidTr="00CA1584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4988B5CD" w14:textId="77777777" w:rsidR="00977B5F" w:rsidRPr="00892EFF" w:rsidRDefault="00977B5F" w:rsidP="00977B5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B363A6" w14:textId="77777777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932D9" w14:textId="01CF5392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</w:t>
            </w:r>
            <w:r>
              <w:rPr>
                <w:rFonts w:cs="Arial"/>
                <w:color w:val="000000"/>
                <w:lang w:eastAsia="en-GB"/>
              </w:rPr>
              <w:t>50</w:t>
            </w:r>
            <w:r w:rsidRPr="00892EFF">
              <w:rPr>
                <w:rFonts w:cs="Arial"/>
                <w:color w:val="000000"/>
                <w:lang w:eastAsia="en-GB"/>
              </w:rPr>
              <w:t>,8</w:t>
            </w:r>
            <w:r>
              <w:rPr>
                <w:rFonts w:cs="Arial"/>
                <w:color w:val="000000"/>
                <w:lang w:eastAsia="en-GB"/>
              </w:rPr>
              <w:t>39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£5</w:t>
            </w:r>
            <w:r>
              <w:rPr>
                <w:rFonts w:cs="Arial"/>
                <w:color w:val="000000"/>
                <w:lang w:eastAsia="en-GB"/>
              </w:rPr>
              <w:t>4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807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B0A85E" w14:textId="568C7A2D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</w:t>
            </w:r>
            <w:r>
              <w:rPr>
                <w:rFonts w:cs="Arial"/>
                <w:color w:val="000000"/>
                <w:lang w:eastAsia="en-GB"/>
              </w:rPr>
              <w:t>51</w:t>
            </w:r>
            <w:r w:rsidRPr="00892EFF">
              <w:rPr>
                <w:rFonts w:cs="Arial"/>
                <w:color w:val="000000"/>
                <w:lang w:eastAsia="en-GB"/>
              </w:rPr>
              <w:t>,8</w:t>
            </w:r>
            <w:r>
              <w:rPr>
                <w:rFonts w:cs="Arial"/>
                <w:color w:val="000000"/>
                <w:lang w:eastAsia="en-GB"/>
              </w:rPr>
              <w:t>56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£5</w:t>
            </w:r>
            <w:r>
              <w:rPr>
                <w:rFonts w:cs="Arial"/>
                <w:color w:val="000000"/>
                <w:lang w:eastAsia="en-GB"/>
              </w:rPr>
              <w:t>5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903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6D0D7E0" w14:textId="3216C7C5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</w:t>
            </w:r>
            <w:r>
              <w:rPr>
                <w:rFonts w:cs="Arial"/>
                <w:color w:val="000000"/>
                <w:lang w:eastAsia="en-GB"/>
              </w:rPr>
              <w:t>5</w:t>
            </w:r>
            <w:r w:rsidR="003A0A9B">
              <w:rPr>
                <w:rFonts w:cs="Arial"/>
                <w:color w:val="000000"/>
                <w:lang w:eastAsia="en-GB"/>
              </w:rPr>
              <w:t>2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3A0A9B">
              <w:rPr>
                <w:rFonts w:cs="Arial"/>
                <w:color w:val="000000"/>
                <w:lang w:eastAsia="en-GB"/>
              </w:rPr>
              <w:t>375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£5</w:t>
            </w:r>
            <w:r w:rsidR="00E03C5B">
              <w:rPr>
                <w:rFonts w:cs="Arial"/>
                <w:color w:val="000000"/>
                <w:lang w:eastAsia="en-GB"/>
              </w:rPr>
              <w:t>6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E03C5B">
              <w:rPr>
                <w:rFonts w:cs="Arial"/>
                <w:color w:val="000000"/>
                <w:lang w:eastAsia="en-GB"/>
              </w:rPr>
              <w:t>462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1F2995" w14:textId="494180C0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</w:t>
            </w:r>
            <w:r>
              <w:rPr>
                <w:rFonts w:cs="Arial"/>
                <w:color w:val="000000"/>
                <w:lang w:eastAsia="en-GB"/>
              </w:rPr>
              <w:t>5</w:t>
            </w:r>
            <w:r w:rsidR="008A2AEB">
              <w:rPr>
                <w:rFonts w:cs="Arial"/>
                <w:color w:val="000000"/>
                <w:lang w:eastAsia="en-GB"/>
              </w:rPr>
              <w:t>2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855147">
              <w:rPr>
                <w:rFonts w:cs="Arial"/>
                <w:color w:val="000000"/>
                <w:lang w:eastAsia="en-GB"/>
              </w:rPr>
              <w:t>899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£5</w:t>
            </w:r>
            <w:r w:rsidR="00A7614E">
              <w:rPr>
                <w:rFonts w:cs="Arial"/>
                <w:color w:val="000000"/>
                <w:lang w:eastAsia="en-GB"/>
              </w:rPr>
              <w:t>7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A7614E">
              <w:rPr>
                <w:rFonts w:cs="Arial"/>
                <w:color w:val="000000"/>
                <w:lang w:eastAsia="en-GB"/>
              </w:rPr>
              <w:t>027</w:t>
            </w:r>
          </w:p>
        </w:tc>
      </w:tr>
      <w:tr w:rsidR="00977B5F" w:rsidRPr="00892EFF" w14:paraId="1D565DF7" w14:textId="1605B70A" w:rsidTr="00CA1584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0542CCBC" w14:textId="77777777" w:rsidR="00977B5F" w:rsidRPr="00892EFF" w:rsidRDefault="00977B5F" w:rsidP="00977B5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B4F434" w14:textId="77777777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C1A275" w14:textId="32250712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£5</w:t>
            </w:r>
            <w:r>
              <w:rPr>
                <w:rFonts w:cs="Arial"/>
                <w:color w:val="000000"/>
                <w:lang w:eastAsia="en-GB"/>
              </w:rPr>
              <w:t>2</w:t>
            </w:r>
            <w:r w:rsidRPr="00892EFF">
              <w:rPr>
                <w:rFonts w:cs="Arial"/>
                <w:color w:val="000000"/>
                <w:lang w:eastAsia="en-GB"/>
              </w:rPr>
              <w:t>,1</w:t>
            </w:r>
            <w:r>
              <w:rPr>
                <w:rFonts w:cs="Arial"/>
                <w:color w:val="000000"/>
                <w:lang w:eastAsia="en-GB"/>
              </w:rPr>
              <w:t>5</w:t>
            </w:r>
            <w:r w:rsidRPr="00892EFF">
              <w:rPr>
                <w:rFonts w:cs="Arial"/>
                <w:color w:val="000000"/>
                <w:lang w:eastAsia="en-GB"/>
              </w:rPr>
              <w:t>8 - £5</w:t>
            </w:r>
            <w:r>
              <w:rPr>
                <w:rFonts w:cs="Arial"/>
                <w:color w:val="000000"/>
                <w:lang w:eastAsia="en-GB"/>
              </w:rPr>
              <w:t>6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8211DB" w14:textId="27EA1382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£5</w:t>
            </w:r>
            <w:r>
              <w:rPr>
                <w:rFonts w:cs="Arial"/>
                <w:color w:val="000000"/>
                <w:lang w:eastAsia="en-GB"/>
              </w:rPr>
              <w:t>3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201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£5</w:t>
            </w:r>
            <w:r>
              <w:rPr>
                <w:rFonts w:cs="Arial"/>
                <w:color w:val="000000"/>
                <w:lang w:eastAsia="en-GB"/>
              </w:rPr>
              <w:t>7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241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5B5FB0" w14:textId="140F62F9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£5</w:t>
            </w:r>
            <w:r>
              <w:rPr>
                <w:rFonts w:cs="Arial"/>
                <w:color w:val="000000"/>
                <w:lang w:eastAsia="en-GB"/>
              </w:rPr>
              <w:t>3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3A0A9B">
              <w:rPr>
                <w:rFonts w:cs="Arial"/>
                <w:color w:val="000000"/>
                <w:lang w:eastAsia="en-GB"/>
              </w:rPr>
              <w:t>733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£5</w:t>
            </w:r>
            <w:r>
              <w:rPr>
                <w:rFonts w:cs="Arial"/>
                <w:color w:val="000000"/>
                <w:lang w:eastAsia="en-GB"/>
              </w:rPr>
              <w:t>7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E03C5B">
              <w:rPr>
                <w:rFonts w:cs="Arial"/>
                <w:color w:val="000000"/>
                <w:lang w:eastAsia="en-GB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4BB7B2" w14:textId="1C278CAE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£5</w:t>
            </w:r>
            <w:r w:rsidR="00855147">
              <w:rPr>
                <w:rFonts w:cs="Arial"/>
                <w:color w:val="000000"/>
                <w:lang w:eastAsia="en-GB"/>
              </w:rPr>
              <w:t>4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2</w:t>
            </w:r>
            <w:r w:rsidR="00855147">
              <w:rPr>
                <w:rFonts w:cs="Arial"/>
                <w:color w:val="000000"/>
                <w:lang w:eastAsia="en-GB"/>
              </w:rPr>
              <w:t>70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£5</w:t>
            </w:r>
            <w:r w:rsidR="006D62B4">
              <w:rPr>
                <w:rFonts w:cs="Arial"/>
                <w:color w:val="000000"/>
                <w:lang w:eastAsia="en-GB"/>
              </w:rPr>
              <w:t>8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6D62B4">
              <w:rPr>
                <w:rFonts w:cs="Arial"/>
                <w:color w:val="000000"/>
                <w:lang w:eastAsia="en-GB"/>
              </w:rPr>
              <w:t>391</w:t>
            </w:r>
          </w:p>
        </w:tc>
      </w:tr>
      <w:tr w:rsidR="00977B5F" w:rsidRPr="00892EFF" w14:paraId="1E802A17" w14:textId="32EF5BD8" w:rsidTr="00977B5F">
        <w:trPr>
          <w:trHeight w:val="306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55F865A" w14:textId="77777777" w:rsidR="00977B5F" w:rsidRPr="00892EFF" w:rsidRDefault="00977B5F" w:rsidP="00977B5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1F853" w14:textId="77777777" w:rsidR="00977B5F" w:rsidRPr="00892EFF" w:rsidRDefault="00977B5F" w:rsidP="00977B5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54D544" w14:textId="77777777" w:rsidR="00977B5F" w:rsidRPr="00892EFF" w:rsidRDefault="00977B5F" w:rsidP="00977B5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86493A" w14:textId="77777777" w:rsidR="00977B5F" w:rsidRPr="00892EFF" w:rsidRDefault="00977B5F" w:rsidP="00977B5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AC1DD8" w14:textId="0C43FC49" w:rsidR="00977B5F" w:rsidRPr="00892EFF" w:rsidRDefault="00977B5F" w:rsidP="00977B5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A33A92" w14:textId="5CD2EE9C" w:rsidR="00977B5F" w:rsidRPr="00892EFF" w:rsidRDefault="00977B5F" w:rsidP="00977B5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77B5F" w:rsidRPr="00892EFF" w14:paraId="2A988DCF" w14:textId="618315AC" w:rsidTr="00CA1584">
        <w:trPr>
          <w:trHeight w:val="300"/>
        </w:trPr>
        <w:tc>
          <w:tcPr>
            <w:tcW w:w="112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3448CE" w14:textId="77777777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sz w:val="22"/>
                <w:lang w:eastAsia="en-GB"/>
              </w:rPr>
              <w:t> </w:t>
            </w:r>
          </w:p>
          <w:p w14:paraId="35DB7073" w14:textId="3BD9DC7B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sz w:val="22"/>
                <w:lang w:eastAsia="en-GB"/>
              </w:rPr>
              <w:t>FG16 – FG21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5B92E" w14:textId="77777777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6BB214" w14:textId="77777777" w:rsidR="00977B5F" w:rsidRPr="00892EFF" w:rsidRDefault="00977B5F" w:rsidP="00977B5F">
            <w:pPr>
              <w:jc w:val="center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9B8607" w14:textId="77777777" w:rsidR="00977B5F" w:rsidRPr="00892EFF" w:rsidRDefault="00977B5F" w:rsidP="00977B5F">
            <w:pPr>
              <w:jc w:val="center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D574C9F" w14:textId="273227AE" w:rsidR="00977B5F" w:rsidRPr="00892EFF" w:rsidRDefault="00977B5F" w:rsidP="00977B5F">
            <w:pPr>
              <w:jc w:val="center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CE34A76" w14:textId="2318CCFC" w:rsidR="00977B5F" w:rsidRPr="00892EFF" w:rsidRDefault="00977B5F" w:rsidP="00977B5F">
            <w:pPr>
              <w:jc w:val="center"/>
              <w:rPr>
                <w:rFonts w:cs="Arial"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cs="Arial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977B5F" w:rsidRPr="00892EFF" w14:paraId="1DCA8767" w14:textId="1F6D92F6" w:rsidTr="00CA1584">
        <w:trPr>
          <w:trHeight w:val="300"/>
        </w:trPr>
        <w:tc>
          <w:tcPr>
            <w:tcW w:w="112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51B09" w14:textId="304E4EDD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6B0422" w14:textId="77777777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B90BE8" w14:textId="14184355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£5</w:t>
            </w:r>
            <w:r>
              <w:rPr>
                <w:rFonts w:cs="Arial"/>
                <w:color w:val="000000"/>
                <w:lang w:eastAsia="en-GB"/>
              </w:rPr>
              <w:t>2</w:t>
            </w:r>
            <w:r w:rsidRPr="00892EFF">
              <w:rPr>
                <w:rFonts w:cs="Arial"/>
                <w:color w:val="000000"/>
                <w:lang w:eastAsia="en-GB"/>
              </w:rPr>
              <w:t>,1</w:t>
            </w:r>
            <w:r>
              <w:rPr>
                <w:rFonts w:cs="Arial"/>
                <w:color w:val="000000"/>
                <w:lang w:eastAsia="en-GB"/>
              </w:rPr>
              <w:t>5</w:t>
            </w:r>
            <w:r w:rsidRPr="00892EFF">
              <w:rPr>
                <w:rFonts w:cs="Arial"/>
                <w:color w:val="000000"/>
                <w:lang w:eastAsia="en-GB"/>
              </w:rPr>
              <w:t>8 - £5</w:t>
            </w:r>
            <w:r>
              <w:rPr>
                <w:rFonts w:cs="Arial"/>
                <w:color w:val="000000"/>
                <w:lang w:eastAsia="en-GB"/>
              </w:rPr>
              <w:t>6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119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A9BA0" w14:textId="4B5488F2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£5</w:t>
            </w:r>
            <w:r>
              <w:rPr>
                <w:rFonts w:cs="Arial"/>
                <w:color w:val="000000"/>
                <w:lang w:eastAsia="en-GB"/>
              </w:rPr>
              <w:t>3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201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£5</w:t>
            </w:r>
            <w:r>
              <w:rPr>
                <w:rFonts w:cs="Arial"/>
                <w:color w:val="000000"/>
                <w:lang w:eastAsia="en-GB"/>
              </w:rPr>
              <w:t>7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241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7C9D072" w14:textId="790F9D37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£5</w:t>
            </w:r>
            <w:r>
              <w:rPr>
                <w:rFonts w:cs="Arial"/>
                <w:color w:val="000000"/>
                <w:lang w:eastAsia="en-GB"/>
              </w:rPr>
              <w:t>3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6D62B4">
              <w:rPr>
                <w:rFonts w:cs="Arial"/>
                <w:color w:val="000000"/>
                <w:lang w:eastAsia="en-GB"/>
              </w:rPr>
              <w:t>733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£5</w:t>
            </w:r>
            <w:r>
              <w:rPr>
                <w:rFonts w:cs="Arial"/>
                <w:color w:val="000000"/>
                <w:lang w:eastAsia="en-GB"/>
              </w:rPr>
              <w:t>7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6D62B4">
              <w:rPr>
                <w:rFonts w:cs="Arial"/>
                <w:color w:val="000000"/>
                <w:lang w:eastAsia="en-GB"/>
              </w:rPr>
              <w:t>813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9ABAB7A" w14:textId="31094EB8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£5</w:t>
            </w:r>
            <w:r w:rsidR="005F7A5A">
              <w:rPr>
                <w:rFonts w:cs="Arial"/>
                <w:color w:val="000000"/>
                <w:lang w:eastAsia="en-GB"/>
              </w:rPr>
              <w:t>4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2</w:t>
            </w:r>
            <w:r w:rsidR="005F7A5A">
              <w:rPr>
                <w:rFonts w:cs="Arial"/>
                <w:color w:val="000000"/>
                <w:lang w:eastAsia="en-GB"/>
              </w:rPr>
              <w:t>70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£5</w:t>
            </w:r>
            <w:r w:rsidR="005F7A5A">
              <w:rPr>
                <w:rFonts w:cs="Arial"/>
                <w:color w:val="000000"/>
                <w:lang w:eastAsia="en-GB"/>
              </w:rPr>
              <w:t>8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5F7A5A">
              <w:rPr>
                <w:rFonts w:cs="Arial"/>
                <w:color w:val="000000"/>
                <w:lang w:eastAsia="en-GB"/>
              </w:rPr>
              <w:t>391</w:t>
            </w:r>
          </w:p>
        </w:tc>
      </w:tr>
      <w:tr w:rsidR="00977B5F" w:rsidRPr="00892EFF" w14:paraId="52A152AD" w14:textId="73B58ED5" w:rsidTr="00CA1584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7DB94126" w14:textId="77777777" w:rsidR="00977B5F" w:rsidRPr="00892EFF" w:rsidRDefault="00977B5F" w:rsidP="00977B5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053AA0" w14:textId="77777777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lang w:eastAsia="en-GB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46D0E" w14:textId="5C3C814E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£5</w:t>
            </w:r>
            <w:r>
              <w:rPr>
                <w:rFonts w:cs="Arial"/>
                <w:color w:val="000000"/>
                <w:lang w:eastAsia="en-GB"/>
              </w:rPr>
              <w:t>3</w:t>
            </w:r>
            <w:r w:rsidRPr="00892EFF">
              <w:rPr>
                <w:rFonts w:cs="Arial"/>
                <w:color w:val="000000"/>
                <w:lang w:eastAsia="en-GB"/>
              </w:rPr>
              <w:t>,4</w:t>
            </w:r>
            <w:r>
              <w:rPr>
                <w:rFonts w:cs="Arial"/>
                <w:color w:val="000000"/>
                <w:lang w:eastAsia="en-GB"/>
              </w:rPr>
              <w:t>88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£5</w:t>
            </w:r>
            <w:r>
              <w:rPr>
                <w:rFonts w:cs="Arial"/>
                <w:color w:val="000000"/>
                <w:lang w:eastAsia="en-GB"/>
              </w:rPr>
              <w:t>7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453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D88962" w14:textId="6F76E127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£5</w:t>
            </w:r>
            <w:r>
              <w:rPr>
                <w:rFonts w:cs="Arial"/>
                <w:color w:val="000000"/>
                <w:lang w:eastAsia="en-GB"/>
              </w:rPr>
              <w:t>4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558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£5</w:t>
            </w:r>
            <w:r>
              <w:rPr>
                <w:rFonts w:cs="Arial"/>
                <w:color w:val="000000"/>
                <w:lang w:eastAsia="en-GB"/>
              </w:rPr>
              <w:t>8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602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5657068" w14:textId="18C34F06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£5</w:t>
            </w:r>
            <w:r w:rsidR="00601EBA">
              <w:rPr>
                <w:rFonts w:cs="Arial"/>
                <w:color w:val="000000"/>
                <w:lang w:eastAsia="en-GB"/>
              </w:rPr>
              <w:t>5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601EBA">
              <w:rPr>
                <w:rFonts w:cs="Arial"/>
                <w:color w:val="000000"/>
                <w:lang w:eastAsia="en-GB"/>
              </w:rPr>
              <w:t>104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£5</w:t>
            </w:r>
            <w:r w:rsidR="00830019">
              <w:rPr>
                <w:rFonts w:cs="Arial"/>
                <w:color w:val="000000"/>
                <w:lang w:eastAsia="en-GB"/>
              </w:rPr>
              <w:t>9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830019">
              <w:rPr>
                <w:rFonts w:cs="Arial"/>
                <w:color w:val="000000"/>
                <w:lang w:eastAsia="en-GB"/>
              </w:rPr>
              <w:t>188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73564F6" w14:textId="3CCA98A1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£5</w:t>
            </w:r>
            <w:r w:rsidR="0038605E">
              <w:rPr>
                <w:rFonts w:cs="Arial"/>
                <w:color w:val="000000"/>
                <w:lang w:eastAsia="en-GB"/>
              </w:rPr>
              <w:t>5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38605E">
              <w:rPr>
                <w:rFonts w:cs="Arial"/>
                <w:color w:val="000000"/>
                <w:lang w:eastAsia="en-GB"/>
              </w:rPr>
              <w:t>655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£5</w:t>
            </w:r>
            <w:r w:rsidR="00B42656">
              <w:rPr>
                <w:rFonts w:cs="Arial"/>
                <w:color w:val="000000"/>
                <w:lang w:eastAsia="en-GB"/>
              </w:rPr>
              <w:t>9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B42656">
              <w:rPr>
                <w:rFonts w:cs="Arial"/>
                <w:color w:val="000000"/>
                <w:lang w:eastAsia="en-GB"/>
              </w:rPr>
              <w:t>780</w:t>
            </w:r>
          </w:p>
        </w:tc>
      </w:tr>
      <w:tr w:rsidR="00977B5F" w:rsidRPr="00892EFF" w14:paraId="121C7A70" w14:textId="63AAE7F1" w:rsidTr="00CA1584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1ED8F57" w14:textId="77777777" w:rsidR="00977B5F" w:rsidRPr="00892EFF" w:rsidRDefault="00977B5F" w:rsidP="00977B5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A0C3EF" w14:textId="77777777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CEB64" w14:textId="4A54A0F9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£5</w:t>
            </w:r>
            <w:r>
              <w:rPr>
                <w:rFonts w:cs="Arial"/>
                <w:color w:val="000000"/>
                <w:lang w:eastAsia="en-GB"/>
              </w:rPr>
              <w:t>4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807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£5</w:t>
            </w:r>
            <w:r>
              <w:rPr>
                <w:rFonts w:cs="Arial"/>
                <w:color w:val="000000"/>
                <w:lang w:eastAsia="en-GB"/>
              </w:rPr>
              <w:t>8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781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F19E5" w14:textId="22C09292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£5</w:t>
            </w:r>
            <w:r>
              <w:rPr>
                <w:rFonts w:cs="Arial"/>
                <w:color w:val="000000"/>
                <w:lang w:eastAsia="en-GB"/>
              </w:rPr>
              <w:t>5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903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£5</w:t>
            </w:r>
            <w:r>
              <w:rPr>
                <w:rFonts w:cs="Arial"/>
                <w:color w:val="000000"/>
                <w:lang w:eastAsia="en-GB"/>
              </w:rPr>
              <w:t>9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957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0FB3FCF" w14:textId="17781E16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£5</w:t>
            </w:r>
            <w:r w:rsidR="0035695E">
              <w:rPr>
                <w:rFonts w:cs="Arial"/>
                <w:color w:val="000000"/>
                <w:lang w:eastAsia="en-GB"/>
              </w:rPr>
              <w:t>6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35695E">
              <w:rPr>
                <w:rFonts w:cs="Arial"/>
                <w:color w:val="000000"/>
                <w:lang w:eastAsia="en-GB"/>
              </w:rPr>
              <w:t>462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</w:t>
            </w:r>
            <w:r w:rsidR="00830019">
              <w:rPr>
                <w:rFonts w:cs="Arial"/>
                <w:color w:val="000000"/>
                <w:lang w:eastAsia="en-GB"/>
              </w:rPr>
              <w:t>60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830019">
              <w:rPr>
                <w:rFonts w:cs="Arial"/>
                <w:color w:val="000000"/>
                <w:lang w:eastAsia="en-GB"/>
              </w:rPr>
              <w:t>557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E90FD97" w14:textId="32DB2FDD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£5</w:t>
            </w:r>
            <w:r w:rsidR="00614753">
              <w:rPr>
                <w:rFonts w:cs="Arial"/>
                <w:color w:val="000000"/>
                <w:lang w:eastAsia="en-GB"/>
              </w:rPr>
              <w:t>7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614753">
              <w:rPr>
                <w:rFonts w:cs="Arial"/>
                <w:color w:val="000000"/>
                <w:lang w:eastAsia="en-GB"/>
              </w:rPr>
              <w:t>027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</w:t>
            </w:r>
            <w:r w:rsidR="00E275A6">
              <w:rPr>
                <w:rFonts w:cs="Arial"/>
                <w:color w:val="000000"/>
                <w:lang w:eastAsia="en-GB"/>
              </w:rPr>
              <w:t>61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E275A6">
              <w:rPr>
                <w:rFonts w:cs="Arial"/>
                <w:color w:val="000000"/>
                <w:lang w:eastAsia="en-GB"/>
              </w:rPr>
              <w:t>163</w:t>
            </w:r>
          </w:p>
        </w:tc>
      </w:tr>
      <w:tr w:rsidR="00977B5F" w:rsidRPr="00892EFF" w14:paraId="0D957F84" w14:textId="65818128" w:rsidTr="00CA1584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6991D3A1" w14:textId="77777777" w:rsidR="00977B5F" w:rsidRPr="00892EFF" w:rsidRDefault="00977B5F" w:rsidP="00977B5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70C97E" w14:textId="77777777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7F139" w14:textId="3B890A4F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£5</w:t>
            </w:r>
            <w:r>
              <w:rPr>
                <w:rFonts w:cs="Arial"/>
                <w:color w:val="000000"/>
                <w:lang w:eastAsia="en-GB"/>
              </w:rPr>
              <w:t>6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119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</w:t>
            </w:r>
            <w:r>
              <w:rPr>
                <w:rFonts w:cs="Arial"/>
                <w:color w:val="000000"/>
                <w:lang w:eastAsia="en-GB"/>
              </w:rPr>
              <w:t>60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108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DEF00" w14:textId="1CF929E1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£5</w:t>
            </w:r>
            <w:r>
              <w:rPr>
                <w:rFonts w:cs="Arial"/>
                <w:color w:val="000000"/>
                <w:lang w:eastAsia="en-GB"/>
              </w:rPr>
              <w:t>7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241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</w:t>
            </w:r>
            <w:r>
              <w:rPr>
                <w:rFonts w:cs="Arial"/>
                <w:color w:val="000000"/>
                <w:lang w:eastAsia="en-GB"/>
              </w:rPr>
              <w:t>61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310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09C6584" w14:textId="01FB54F8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£5</w:t>
            </w:r>
            <w:r>
              <w:rPr>
                <w:rFonts w:cs="Arial"/>
                <w:color w:val="000000"/>
                <w:lang w:eastAsia="en-GB"/>
              </w:rPr>
              <w:t>7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35695E">
              <w:rPr>
                <w:rFonts w:cs="Arial"/>
                <w:color w:val="000000"/>
                <w:lang w:eastAsia="en-GB"/>
              </w:rPr>
              <w:t>813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</w:t>
            </w:r>
            <w:r>
              <w:rPr>
                <w:rFonts w:cs="Arial"/>
                <w:color w:val="000000"/>
                <w:lang w:eastAsia="en-GB"/>
              </w:rPr>
              <w:t>61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DD5851">
              <w:rPr>
                <w:rFonts w:cs="Arial"/>
                <w:color w:val="000000"/>
                <w:lang w:eastAsia="en-GB"/>
              </w:rPr>
              <w:t>923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44C149" w14:textId="402D2934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£5</w:t>
            </w:r>
            <w:r w:rsidR="00614753">
              <w:rPr>
                <w:rFonts w:cs="Arial"/>
                <w:color w:val="000000"/>
                <w:lang w:eastAsia="en-GB"/>
              </w:rPr>
              <w:t>8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614753">
              <w:rPr>
                <w:rFonts w:cs="Arial"/>
                <w:color w:val="000000"/>
                <w:lang w:eastAsia="en-GB"/>
              </w:rPr>
              <w:t>391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</w:t>
            </w:r>
            <w:r w:rsidR="00E275A6">
              <w:rPr>
                <w:rFonts w:cs="Arial"/>
                <w:color w:val="000000"/>
                <w:lang w:eastAsia="en-GB"/>
              </w:rPr>
              <w:t>62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F2010E">
              <w:rPr>
                <w:rFonts w:cs="Arial"/>
                <w:color w:val="000000"/>
                <w:lang w:eastAsia="en-GB"/>
              </w:rPr>
              <w:t>542</w:t>
            </w:r>
          </w:p>
        </w:tc>
      </w:tr>
      <w:tr w:rsidR="00977B5F" w:rsidRPr="00892EFF" w14:paraId="260B3DE0" w14:textId="06E9CEB3" w:rsidTr="00CA1584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3B49AC71" w14:textId="77777777" w:rsidR="00977B5F" w:rsidRPr="00892EFF" w:rsidRDefault="00977B5F" w:rsidP="00977B5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93B74" w14:textId="77777777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CBD9AB" w14:textId="4BBB0F4F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£5</w:t>
            </w:r>
            <w:r>
              <w:rPr>
                <w:rFonts w:cs="Arial"/>
                <w:color w:val="000000"/>
                <w:lang w:eastAsia="en-GB"/>
              </w:rPr>
              <w:t>7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453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</w:t>
            </w:r>
            <w:r>
              <w:rPr>
                <w:rFonts w:cs="Arial"/>
                <w:color w:val="000000"/>
                <w:lang w:eastAsia="en-GB"/>
              </w:rPr>
              <w:t>61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435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6A3A81" w14:textId="7417D943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</w:t>
            </w:r>
            <w:r>
              <w:rPr>
                <w:rFonts w:cs="Arial"/>
                <w:color w:val="000000"/>
                <w:lang w:eastAsia="en-GB"/>
              </w:rPr>
              <w:t>58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602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</w:t>
            </w:r>
            <w:r>
              <w:rPr>
                <w:rFonts w:cs="Arial"/>
                <w:color w:val="000000"/>
                <w:lang w:eastAsia="en-GB"/>
              </w:rPr>
              <w:t>62,664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9E0B7A7" w14:textId="3DA5E7E3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</w:t>
            </w:r>
            <w:r>
              <w:rPr>
                <w:rFonts w:cs="Arial"/>
                <w:color w:val="000000"/>
                <w:lang w:eastAsia="en-GB"/>
              </w:rPr>
              <w:t>5</w:t>
            </w:r>
            <w:r w:rsidR="0035695E">
              <w:rPr>
                <w:rFonts w:cs="Arial"/>
                <w:color w:val="000000"/>
                <w:lang w:eastAsia="en-GB"/>
              </w:rPr>
              <w:t>9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35695E">
              <w:rPr>
                <w:rFonts w:cs="Arial"/>
                <w:color w:val="000000"/>
                <w:lang w:eastAsia="en-GB"/>
              </w:rPr>
              <w:t>188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</w:t>
            </w:r>
            <w:r>
              <w:rPr>
                <w:rFonts w:cs="Arial"/>
                <w:color w:val="000000"/>
                <w:lang w:eastAsia="en-GB"/>
              </w:rPr>
              <w:t>6</w:t>
            </w:r>
            <w:r w:rsidR="00DD5851">
              <w:rPr>
                <w:rFonts w:cs="Arial"/>
                <w:color w:val="000000"/>
                <w:lang w:eastAsia="en-GB"/>
              </w:rPr>
              <w:t>3</w:t>
            </w:r>
            <w:r>
              <w:rPr>
                <w:rFonts w:cs="Arial"/>
                <w:color w:val="000000"/>
                <w:lang w:eastAsia="en-GB"/>
              </w:rPr>
              <w:t>,</w:t>
            </w:r>
            <w:r w:rsidR="00DD5851">
              <w:rPr>
                <w:rFonts w:cs="Arial"/>
                <w:color w:val="000000"/>
                <w:lang w:eastAsia="en-GB"/>
              </w:rPr>
              <w:t>291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2AB5DED" w14:textId="1DBF8DB7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</w:t>
            </w:r>
            <w:r>
              <w:rPr>
                <w:rFonts w:cs="Arial"/>
                <w:color w:val="000000"/>
                <w:lang w:eastAsia="en-GB"/>
              </w:rPr>
              <w:t>5</w:t>
            </w:r>
            <w:r w:rsidR="00934F63">
              <w:rPr>
                <w:rFonts w:cs="Arial"/>
                <w:color w:val="000000"/>
                <w:lang w:eastAsia="en-GB"/>
              </w:rPr>
              <w:t>9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934F63">
              <w:rPr>
                <w:rFonts w:cs="Arial"/>
                <w:color w:val="000000"/>
                <w:lang w:eastAsia="en-GB"/>
              </w:rPr>
              <w:t>780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</w:t>
            </w:r>
            <w:r>
              <w:rPr>
                <w:rFonts w:cs="Arial"/>
                <w:color w:val="000000"/>
                <w:lang w:eastAsia="en-GB"/>
              </w:rPr>
              <w:t>6</w:t>
            </w:r>
            <w:r w:rsidR="00DE0765">
              <w:rPr>
                <w:rFonts w:cs="Arial"/>
                <w:color w:val="000000"/>
                <w:lang w:eastAsia="en-GB"/>
              </w:rPr>
              <w:t>3</w:t>
            </w:r>
            <w:r>
              <w:rPr>
                <w:rFonts w:cs="Arial"/>
                <w:color w:val="000000"/>
                <w:lang w:eastAsia="en-GB"/>
              </w:rPr>
              <w:t>,</w:t>
            </w:r>
            <w:r w:rsidR="00DE0765">
              <w:rPr>
                <w:rFonts w:cs="Arial"/>
                <w:color w:val="000000"/>
                <w:lang w:eastAsia="en-GB"/>
              </w:rPr>
              <w:t>9</w:t>
            </w:r>
            <w:r w:rsidR="00AF63A1">
              <w:rPr>
                <w:rFonts w:cs="Arial"/>
                <w:color w:val="000000"/>
                <w:lang w:eastAsia="en-GB"/>
              </w:rPr>
              <w:t>2</w:t>
            </w:r>
            <w:r w:rsidR="00DE0765">
              <w:rPr>
                <w:rFonts w:cs="Arial"/>
                <w:color w:val="000000"/>
                <w:lang w:eastAsia="en-GB"/>
              </w:rPr>
              <w:t>4</w:t>
            </w:r>
          </w:p>
        </w:tc>
      </w:tr>
      <w:tr w:rsidR="00977B5F" w:rsidRPr="00892EFF" w14:paraId="3095E502" w14:textId="5CC7C5F9" w:rsidTr="00CA1584">
        <w:trPr>
          <w:trHeight w:val="300"/>
        </w:trPr>
        <w:tc>
          <w:tcPr>
            <w:tcW w:w="112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14:paraId="18516F0D" w14:textId="77777777" w:rsidR="00977B5F" w:rsidRPr="00892EFF" w:rsidRDefault="00977B5F" w:rsidP="00977B5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1E13CD" w14:textId="77777777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lang w:eastAsia="en-GB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09B41A" w14:textId="7CCBB4EC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£5</w:t>
            </w:r>
            <w:r>
              <w:rPr>
                <w:rFonts w:cs="Arial"/>
                <w:color w:val="000000"/>
                <w:lang w:eastAsia="en-GB"/>
              </w:rPr>
              <w:t>8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781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£6</w:t>
            </w:r>
            <w:r>
              <w:rPr>
                <w:rFonts w:cs="Arial"/>
                <w:color w:val="000000"/>
                <w:lang w:eastAsia="en-GB"/>
              </w:rPr>
              <w:t>2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750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F2994" w14:textId="547642FD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£5</w:t>
            </w:r>
            <w:r>
              <w:rPr>
                <w:rFonts w:cs="Arial"/>
                <w:color w:val="000000"/>
                <w:lang w:eastAsia="en-GB"/>
              </w:rPr>
              <w:t>9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957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£6</w:t>
            </w:r>
            <w:r>
              <w:rPr>
                <w:rFonts w:cs="Arial"/>
                <w:color w:val="000000"/>
                <w:lang w:eastAsia="en-GB"/>
              </w:rPr>
              <w:t>4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>
              <w:rPr>
                <w:rFonts w:cs="Arial"/>
                <w:color w:val="000000"/>
                <w:lang w:eastAsia="en-GB"/>
              </w:rPr>
              <w:t>005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9CDFF39" w14:textId="097E4895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</w:t>
            </w:r>
            <w:r w:rsidR="0038605E">
              <w:rPr>
                <w:rFonts w:cs="Arial"/>
                <w:color w:val="000000"/>
                <w:lang w:eastAsia="en-GB"/>
              </w:rPr>
              <w:t>60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38605E">
              <w:rPr>
                <w:rFonts w:cs="Arial"/>
                <w:color w:val="000000"/>
                <w:lang w:eastAsia="en-GB"/>
              </w:rPr>
              <w:t>557</w:t>
            </w:r>
            <w:r w:rsidRPr="00892EFF">
              <w:rPr>
                <w:rFonts w:cs="Arial"/>
                <w:color w:val="000000"/>
                <w:lang w:eastAsia="en-GB"/>
              </w:rPr>
              <w:t xml:space="preserve"> - £6</w:t>
            </w:r>
            <w:r>
              <w:rPr>
                <w:rFonts w:cs="Arial"/>
                <w:color w:val="000000"/>
                <w:lang w:eastAsia="en-GB"/>
              </w:rPr>
              <w:t>4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7D2E09">
              <w:rPr>
                <w:rFonts w:cs="Arial"/>
                <w:color w:val="000000"/>
                <w:lang w:eastAsia="en-GB"/>
              </w:rPr>
              <w:t>645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702B719" w14:textId="14E0E0C2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£</w:t>
            </w:r>
            <w:r w:rsidR="00AE3BE7">
              <w:rPr>
                <w:rFonts w:cs="Arial"/>
                <w:color w:val="000000"/>
                <w:lang w:eastAsia="en-GB"/>
              </w:rPr>
              <w:t>61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AE3BE7">
              <w:rPr>
                <w:rFonts w:cs="Arial"/>
                <w:color w:val="000000"/>
                <w:lang w:eastAsia="en-GB"/>
              </w:rPr>
              <w:t xml:space="preserve">163 </w:t>
            </w:r>
            <w:r w:rsidRPr="00892EFF">
              <w:rPr>
                <w:rFonts w:cs="Arial"/>
                <w:color w:val="000000"/>
                <w:lang w:eastAsia="en-GB"/>
              </w:rPr>
              <w:t>- £6</w:t>
            </w:r>
            <w:r w:rsidR="007D2E09">
              <w:rPr>
                <w:rFonts w:cs="Arial"/>
                <w:color w:val="000000"/>
                <w:lang w:eastAsia="en-GB"/>
              </w:rPr>
              <w:t>5</w:t>
            </w:r>
            <w:r w:rsidRPr="00892EFF">
              <w:rPr>
                <w:rFonts w:cs="Arial"/>
                <w:color w:val="000000"/>
                <w:lang w:eastAsia="en-GB"/>
              </w:rPr>
              <w:t>,</w:t>
            </w:r>
            <w:r w:rsidR="007D2E09">
              <w:rPr>
                <w:rFonts w:cs="Arial"/>
                <w:color w:val="000000"/>
                <w:lang w:eastAsia="en-GB"/>
              </w:rPr>
              <w:t>291</w:t>
            </w:r>
          </w:p>
        </w:tc>
      </w:tr>
      <w:tr w:rsidR="00977B5F" w:rsidRPr="00892EFF" w14:paraId="031D4B54" w14:textId="0286787A" w:rsidTr="00CA1584">
        <w:trPr>
          <w:trHeight w:val="306"/>
        </w:trPr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17F4510" w14:textId="77777777" w:rsidR="00977B5F" w:rsidRPr="00892EFF" w:rsidRDefault="00977B5F" w:rsidP="00977B5F">
            <w:pPr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9274B" w14:textId="77777777" w:rsidR="00977B5F" w:rsidRPr="00892EFF" w:rsidRDefault="00977B5F" w:rsidP="00977B5F">
            <w:pPr>
              <w:jc w:val="center"/>
              <w:rPr>
                <w:rFonts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92EFF">
              <w:rPr>
                <w:rFonts w:cs="Arial"/>
                <w:b/>
                <w:bCs/>
                <w:color w:val="000000"/>
                <w:sz w:val="22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F4E2DA" w14:textId="77777777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F9320" w14:textId="77777777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892EFF">
              <w:rPr>
                <w:rFonts w:cs="Arial"/>
                <w:color w:val="00000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E7CCA7" w14:textId="3C423895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C882DC" w14:textId="6116A198" w:rsidR="00977B5F" w:rsidRPr="00892EFF" w:rsidRDefault="00977B5F" w:rsidP="00977B5F">
            <w:pPr>
              <w:jc w:val="center"/>
              <w:rPr>
                <w:rFonts w:cs="Arial"/>
                <w:color w:val="000000"/>
                <w:lang w:eastAsia="en-GB"/>
              </w:rPr>
            </w:pPr>
          </w:p>
        </w:tc>
      </w:tr>
    </w:tbl>
    <w:p w14:paraId="15DF8E8A" w14:textId="77777777" w:rsidR="00614060" w:rsidRDefault="00614060"/>
    <w:p w14:paraId="3C6C0061" w14:textId="20A9810D" w:rsidR="00B3483F" w:rsidRDefault="00AA20FB" w:rsidP="00B3483F">
      <w:pPr>
        <w:ind w:left="770" w:hanging="770"/>
        <w:jc w:val="both"/>
      </w:pPr>
      <w:r>
        <w:rPr>
          <w:b/>
        </w:rPr>
        <w:t>Note:</w:t>
      </w:r>
      <w:r>
        <w:tab/>
        <w:t xml:space="preserve">These </w:t>
      </w:r>
      <w:r w:rsidR="00CA5564">
        <w:t xml:space="preserve">scales do not show </w:t>
      </w:r>
      <w:r w:rsidR="00CA5564" w:rsidRPr="00A86F0B">
        <w:t xml:space="preserve">the </w:t>
      </w:r>
      <w:r w:rsidR="008B7C35">
        <w:t xml:space="preserve">£2,801 (September </w:t>
      </w:r>
      <w:r w:rsidR="008B7C35" w:rsidRPr="0051022F">
        <w:t>2021</w:t>
      </w:r>
      <w:r w:rsidR="0051022F" w:rsidRPr="0051022F">
        <w:t>)</w:t>
      </w:r>
      <w:r w:rsidR="008B7C35" w:rsidRPr="0051022F">
        <w:t>/£</w:t>
      </w:r>
      <w:r w:rsidR="008B7C35" w:rsidRPr="00A86F0B">
        <w:t>2,</w:t>
      </w:r>
      <w:r w:rsidR="008B7C35">
        <w:t>829</w:t>
      </w:r>
      <w:r w:rsidR="008B7C35" w:rsidRPr="00A86F0B">
        <w:t xml:space="preserve"> </w:t>
      </w:r>
      <w:r w:rsidR="008B7C35">
        <w:t>(September 2022)</w:t>
      </w:r>
      <w:r w:rsidR="000666FD">
        <w:t xml:space="preserve"> </w:t>
      </w:r>
      <w:r>
        <w:t>payment for lecturers on the Head of Department scales who apply for and are awarded a Threshold payment or who have carried such payment from another scale.</w:t>
      </w:r>
      <w:r w:rsidR="00B3483F" w:rsidRPr="00B3483F">
        <w:t xml:space="preserve"> </w:t>
      </w:r>
    </w:p>
    <w:p w14:paraId="16575538" w14:textId="77777777" w:rsidR="00AA20FB" w:rsidRDefault="00AA20FB" w:rsidP="00AA20FB">
      <w:pPr>
        <w:ind w:left="770" w:hanging="770"/>
        <w:jc w:val="both"/>
      </w:pPr>
    </w:p>
    <w:p w14:paraId="2F6CFFDD" w14:textId="77777777" w:rsidR="00AA20FB" w:rsidRDefault="00AA20FB" w:rsidP="00AA20FB"/>
    <w:p w14:paraId="03A095CF" w14:textId="7FAEB1CF" w:rsidR="00AA20FB" w:rsidRDefault="00AA20FB" w:rsidP="00342CF3">
      <w:pPr>
        <w:numPr>
          <w:ilvl w:val="0"/>
          <w:numId w:val="4"/>
        </w:numPr>
        <w:tabs>
          <w:tab w:val="clear" w:pos="1080"/>
        </w:tabs>
        <w:ind w:left="709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Management Salary Spine</w:t>
      </w:r>
    </w:p>
    <w:tbl>
      <w:tblPr>
        <w:tblW w:w="9199" w:type="dxa"/>
        <w:tblInd w:w="690" w:type="dxa"/>
        <w:tblLayout w:type="fixed"/>
        <w:tblLook w:val="04A0" w:firstRow="1" w:lastRow="0" w:firstColumn="1" w:lastColumn="0" w:noHBand="0" w:noVBand="1"/>
      </w:tblPr>
      <w:tblGrid>
        <w:gridCol w:w="1839"/>
        <w:gridCol w:w="1840"/>
        <w:gridCol w:w="1840"/>
        <w:gridCol w:w="1840"/>
        <w:gridCol w:w="1840"/>
      </w:tblGrid>
      <w:tr w:rsidR="00756591" w:rsidRPr="001C477E" w14:paraId="684AECC6" w14:textId="23C65EA2" w:rsidTr="00C823A9">
        <w:trPr>
          <w:trHeight w:val="612"/>
        </w:trPr>
        <w:tc>
          <w:tcPr>
            <w:tcW w:w="183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8F623" w14:textId="77777777" w:rsidR="00756591" w:rsidRPr="001C477E" w:rsidRDefault="00756591" w:rsidP="0075659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Management Spine Points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6E91AA" w14:textId="77777777" w:rsidR="00756591" w:rsidRPr="001C477E" w:rsidRDefault="00756591" w:rsidP="0075659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Salary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D6E638" w14:textId="77777777" w:rsidR="00756591" w:rsidRPr="001C477E" w:rsidRDefault="00756591" w:rsidP="0075659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Salary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392E3E6" w14:textId="00534230" w:rsidR="00756591" w:rsidRPr="001C477E" w:rsidRDefault="00756591" w:rsidP="0075659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Salary</w:t>
            </w:r>
          </w:p>
        </w:tc>
        <w:tc>
          <w:tcPr>
            <w:tcW w:w="1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C2930BD" w14:textId="3FF9485D" w:rsidR="00756591" w:rsidRPr="001C477E" w:rsidRDefault="00756591" w:rsidP="0075659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Salary</w:t>
            </w:r>
          </w:p>
        </w:tc>
      </w:tr>
      <w:tr w:rsidR="00756591" w:rsidRPr="001C477E" w14:paraId="5E8131D6" w14:textId="1BC119A6" w:rsidTr="00C823A9">
        <w:trPr>
          <w:trHeight w:val="324"/>
        </w:trPr>
        <w:tc>
          <w:tcPr>
            <w:tcW w:w="183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A60A4" w14:textId="77777777" w:rsidR="00756591" w:rsidRPr="001C477E" w:rsidRDefault="00756591" w:rsidP="00756591">
            <w:pPr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D27FFD" w14:textId="77777777" w:rsidR="00756591" w:rsidRPr="001C477E" w:rsidRDefault="00756591" w:rsidP="0075659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(£)-2019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84DF8F" w14:textId="77777777" w:rsidR="00756591" w:rsidRPr="001C477E" w:rsidRDefault="00756591" w:rsidP="0075659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(£)-2020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F59B6E2" w14:textId="593672D8" w:rsidR="00756591" w:rsidRPr="001C477E" w:rsidRDefault="00756591" w:rsidP="0075659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(£)-202</w:t>
            </w:r>
            <w:r>
              <w:rPr>
                <w:rFonts w:cs="Arial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A01BD16" w14:textId="00D8B32C" w:rsidR="00756591" w:rsidRPr="001C477E" w:rsidRDefault="00756591" w:rsidP="0075659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(£)-202</w:t>
            </w:r>
            <w:r>
              <w:rPr>
                <w:rFonts w:cs="Arial"/>
                <w:b/>
                <w:bCs/>
                <w:color w:val="000000"/>
                <w:lang w:eastAsia="en-GB"/>
              </w:rPr>
              <w:t>2</w:t>
            </w:r>
          </w:p>
        </w:tc>
      </w:tr>
      <w:tr w:rsidR="00756591" w:rsidRPr="001C477E" w14:paraId="2C2B828A" w14:textId="4E92CF44" w:rsidTr="003D4924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61C41F" w14:textId="77777777" w:rsidR="00756591" w:rsidRPr="001C477E" w:rsidRDefault="00756591" w:rsidP="0075659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17DBC" w14:textId="77777777" w:rsidR="00756591" w:rsidRPr="001C477E" w:rsidRDefault="00756591" w:rsidP="0075659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1822B" w14:textId="77777777" w:rsidR="00756591" w:rsidRPr="001C477E" w:rsidRDefault="00756591" w:rsidP="0075659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1B565E1A" w14:textId="77777777" w:rsidR="00756591" w:rsidRPr="001C477E" w:rsidRDefault="00756591" w:rsidP="0075659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712647CE" w14:textId="77777777" w:rsidR="00756591" w:rsidRPr="001C477E" w:rsidRDefault="00756591" w:rsidP="0075659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</w:tr>
      <w:tr w:rsidR="00873401" w:rsidRPr="001C477E" w14:paraId="76A7AABE" w14:textId="6D6BD2F6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3BB696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DEEA5" w14:textId="41677949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£34,227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48F9E5" w14:textId="7D73DEF0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£34,912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ED28062" w14:textId="1AF879F3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£35,261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89259F" w14:textId="39CCD9C1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£35,614</w:t>
            </w:r>
          </w:p>
        </w:tc>
      </w:tr>
      <w:tr w:rsidR="00873401" w:rsidRPr="001C477E" w14:paraId="3F98567C" w14:textId="59A15612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4E3216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AFE4E3" w14:textId="6F0144F7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£35,352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ECAC3D" w14:textId="3CC0B4FB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£36,059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2194D0" w14:textId="496B2470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£36,420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6FCB94" w14:textId="02CAA1B3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£36,784</w:t>
            </w:r>
          </w:p>
        </w:tc>
      </w:tr>
      <w:tr w:rsidR="00873401" w:rsidRPr="001C477E" w14:paraId="426B2908" w14:textId="4E2FFABD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3AA0F9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1723CB" w14:textId="3F215CA3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£36,472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C5055B" w14:textId="5363F2BC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£37,201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BBB059" w14:textId="2E61A944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£37,573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B304CC" w14:textId="32AA08AD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£37,949</w:t>
            </w:r>
          </w:p>
        </w:tc>
      </w:tr>
      <w:tr w:rsidR="00873401" w:rsidRPr="001C477E" w14:paraId="0C3537B8" w14:textId="2E0A8535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1201DB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887EE" w14:textId="6333A709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£37,588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364F7" w14:textId="2F02AC07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£38,340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A5C53D9" w14:textId="73A7619A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£38,723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4A52011" w14:textId="401B949D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£39,110</w:t>
            </w:r>
          </w:p>
        </w:tc>
      </w:tr>
      <w:tr w:rsidR="00873401" w:rsidRPr="001C477E" w14:paraId="1E175C60" w14:textId="005F1F41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351B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7B6105" w14:textId="33503312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£38,715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45E964" w14:textId="49BE1234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£39,489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50D4590" w14:textId="77585138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£39,884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3EAB19" w14:textId="7D212B9D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£40,283</w:t>
            </w:r>
          </w:p>
        </w:tc>
      </w:tr>
      <w:tr w:rsidR="00873401" w:rsidRPr="001C477E" w14:paraId="1BD9B404" w14:textId="197006F7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F8773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B470C4" w14:textId="2C88EAF3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£39,830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6B139" w14:textId="69B63397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£40,627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44820CD" w14:textId="1230D05A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£41,033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C7ED12" w14:textId="7C932B67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£41,443</w:t>
            </w:r>
          </w:p>
        </w:tc>
      </w:tr>
      <w:tr w:rsidR="00873401" w:rsidRPr="001C477E" w14:paraId="4A7B6B89" w14:textId="2324E2CC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DBC743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0FCAB" w14:textId="51C9970D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£40,947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A36F7" w14:textId="5819BF23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£41,766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E99EA3E" w14:textId="75B5BBAC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£42,184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91D819A" w14:textId="34F51AE9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£42,606</w:t>
            </w:r>
          </w:p>
        </w:tc>
      </w:tr>
      <w:tr w:rsidR="00873401" w:rsidRPr="001C477E" w14:paraId="711668B9" w14:textId="30658596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D93D62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AAC5CC" w14:textId="50703D65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£42,072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730F14" w14:textId="23AEA626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£42,913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49DD9AB" w14:textId="57EDB16A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£43,342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41C2A3AF" w14:textId="3A16264D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£43,775</w:t>
            </w:r>
          </w:p>
        </w:tc>
      </w:tr>
      <w:tr w:rsidR="00873401" w:rsidRPr="001C477E" w14:paraId="5ADB3C29" w14:textId="28A4F9CD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BC8828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9B66CA" w14:textId="7E88F3C0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£43,198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33BD6" w14:textId="6DE8C5A1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£44,062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4EF3CCD" w14:textId="54BC1A21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£44,503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C0FF9F9" w14:textId="7EC820A6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£44,948</w:t>
            </w:r>
          </w:p>
        </w:tc>
      </w:tr>
      <w:tr w:rsidR="00873401" w:rsidRPr="001C477E" w14:paraId="5D583216" w14:textId="24141C26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FCC4F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5A588" w14:textId="15E8FB0E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£44,312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0C20EF" w14:textId="1CDE2B4A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£45,198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CE13E60" w14:textId="4F435009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£45,650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2889733" w14:textId="5E9987D9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£46,107</w:t>
            </w:r>
          </w:p>
        </w:tc>
      </w:tr>
      <w:tr w:rsidR="00873401" w:rsidRPr="001C477E" w14:paraId="15DB2022" w14:textId="273D1207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657DA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11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9FB874" w14:textId="3F85249F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£45,537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743326" w14:textId="6ECF334C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£46,448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9BC53A5" w14:textId="64624042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£46,912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CE958A1" w14:textId="42FD804D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£47,381</w:t>
            </w:r>
          </w:p>
        </w:tc>
      </w:tr>
      <w:tr w:rsidR="00873401" w:rsidRPr="001C477E" w14:paraId="03AE062A" w14:textId="79D28D1B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6C7E56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12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658D2" w14:textId="172FC966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£46,869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EA6EEA" w14:textId="11C54BBE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£47,806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0A32318" w14:textId="28481FC3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£48,284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D7C36A1" w14:textId="122FD61A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£48,767</w:t>
            </w:r>
          </w:p>
        </w:tc>
      </w:tr>
      <w:tr w:rsidR="00873401" w:rsidRPr="001C477E" w14:paraId="41FF5D43" w14:textId="7A082F9D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2F362D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8F74D2" w14:textId="25C18C3C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£48,177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8178AD" w14:textId="2C62B09F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£49,141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E8E559" w14:textId="71F73203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£49,632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717A481" w14:textId="50356BE6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£50,128</w:t>
            </w:r>
          </w:p>
        </w:tc>
      </w:tr>
      <w:tr w:rsidR="00873401" w:rsidRPr="001C477E" w14:paraId="7030A4FA" w14:textId="4A40D292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A9BA10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F301D" w14:textId="6E0414F4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£49,506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5BA81" w14:textId="233945AD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£50,496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920A513" w14:textId="33468371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£51,001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3DB070D" w14:textId="2C794932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£51,511</w:t>
            </w:r>
          </w:p>
        </w:tc>
      </w:tr>
      <w:tr w:rsidR="00873401" w:rsidRPr="001C477E" w14:paraId="66AE60AC" w14:textId="665C3206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5FAEA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15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B2C720" w14:textId="1F8A2629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£50,839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8DD844" w14:textId="5D1587CE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£51,856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B1128C8" w14:textId="332D64B0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£52,375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F7F6D4" w14:textId="43F9D98E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£52,899</w:t>
            </w:r>
          </w:p>
        </w:tc>
      </w:tr>
      <w:tr w:rsidR="00873401" w:rsidRPr="001C477E" w14:paraId="428551E0" w14:textId="38F4283E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BF9A9F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6368C65" w14:textId="2DB09594" w:rsidR="00873401" w:rsidRPr="001C477E" w:rsidRDefault="00873401" w:rsidP="00873401">
            <w:pPr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</w:rPr>
              <w:t>£52,158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B4C20D" w14:textId="0F6B9811" w:rsidR="00873401" w:rsidRPr="001C477E" w:rsidRDefault="00873401" w:rsidP="00873401">
            <w:pPr>
              <w:jc w:val="center"/>
              <w:rPr>
                <w:rFonts w:cs="Arial"/>
                <w:lang w:eastAsia="en-GB"/>
              </w:rPr>
            </w:pPr>
            <w:r>
              <w:rPr>
                <w:rFonts w:cs="Arial"/>
              </w:rPr>
              <w:t>£53,201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74F7EA4A" w14:textId="6F7C7738" w:rsidR="00873401" w:rsidRPr="00873401" w:rsidRDefault="00873401" w:rsidP="00873401">
            <w:pPr>
              <w:jc w:val="center"/>
              <w:rPr>
                <w:rFonts w:cs="Arial"/>
              </w:rPr>
            </w:pPr>
            <w:r w:rsidRPr="00873401">
              <w:rPr>
                <w:rFonts w:cs="Arial"/>
                <w:color w:val="000000"/>
              </w:rPr>
              <w:t>£53,733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14:paraId="09B8A5C6" w14:textId="631C06FB" w:rsidR="00873401" w:rsidRPr="00873401" w:rsidRDefault="00873401" w:rsidP="00873401">
            <w:pPr>
              <w:jc w:val="center"/>
              <w:rPr>
                <w:rFonts w:cs="Arial"/>
              </w:rPr>
            </w:pPr>
            <w:r w:rsidRPr="00873401">
              <w:rPr>
                <w:rFonts w:cs="Arial"/>
                <w:color w:val="000000"/>
              </w:rPr>
              <w:t>£54,270</w:t>
            </w:r>
          </w:p>
        </w:tc>
      </w:tr>
      <w:tr w:rsidR="00873401" w:rsidRPr="001C477E" w14:paraId="647FAD85" w14:textId="17DCAF93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2E076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17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165E30F" w14:textId="257FB60F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£53,488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CC45F10" w14:textId="2D95759B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£54,558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578F4618" w14:textId="14F6A3E5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£55,104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</w:tcPr>
          <w:p w14:paraId="08486928" w14:textId="4544C8B0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£55,655</w:t>
            </w:r>
          </w:p>
        </w:tc>
      </w:tr>
      <w:tr w:rsidR="00873401" w:rsidRPr="001C477E" w14:paraId="6A5C0EFF" w14:textId="696392CD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B6D0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18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262BFC" w14:textId="3C58E193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£54,807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7219FF" w14:textId="03F657B9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£55,903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ECF3A06" w14:textId="54FA481B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£56,462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C03A4B5" w14:textId="7AD3EB4A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£57,027</w:t>
            </w:r>
          </w:p>
        </w:tc>
      </w:tr>
      <w:tr w:rsidR="00873401" w:rsidRPr="001C477E" w14:paraId="6156A2D2" w14:textId="0BB0DFE0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B831CA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669A9A" w14:textId="5E2A233C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£56,119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5D705" w14:textId="590D27D3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£57,241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81F599C" w14:textId="20AD0B54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£57,813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B895557" w14:textId="2EF6708B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£58,391</w:t>
            </w:r>
          </w:p>
        </w:tc>
      </w:tr>
      <w:tr w:rsidR="00873401" w:rsidRPr="001C477E" w14:paraId="6E1087E3" w14:textId="6254576E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1417B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452A08" w14:textId="4F020143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£57,453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6A60CD" w14:textId="1CA01B76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£58,602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D88D4FA" w14:textId="29984EFD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£59,188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AAFBF7" w14:textId="3F48454F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£59,780</w:t>
            </w:r>
          </w:p>
        </w:tc>
      </w:tr>
      <w:tr w:rsidR="00873401" w:rsidRPr="001C477E" w14:paraId="70790D47" w14:textId="1E05C5D2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3A137E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21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3EF010" w14:textId="4AFD6703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£58,781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8C6E87" w14:textId="354B6E48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£59,957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C65BB6" w14:textId="531AFF99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£60,557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E82BB0B" w14:textId="5297C61C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£61,163</w:t>
            </w:r>
          </w:p>
        </w:tc>
      </w:tr>
      <w:tr w:rsidR="00873401" w:rsidRPr="001C477E" w14:paraId="330CBC33" w14:textId="6B1EC4EA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FF4DA2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22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1BEAA" w14:textId="10AC8ED4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£60,108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AC6789" w14:textId="02298C4B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£61,310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3BD7617" w14:textId="4DCC798E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£61,923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675394D" w14:textId="2397F4EB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£62,542</w:t>
            </w:r>
          </w:p>
        </w:tc>
      </w:tr>
      <w:tr w:rsidR="00873401" w:rsidRPr="001C477E" w14:paraId="609D61A7" w14:textId="6BA5F56A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9CCAAB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23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01E03F" w14:textId="557B0F9A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£61,435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04B4EA" w14:textId="768AA001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£62,664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A724D96" w14:textId="386028C8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£63,291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58C4C61D" w14:textId="179B9F8F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£63,924</w:t>
            </w:r>
          </w:p>
        </w:tc>
      </w:tr>
      <w:tr w:rsidR="00873401" w:rsidRPr="001C477E" w14:paraId="7B557247" w14:textId="042E1E11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82C0C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24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CE2679" w14:textId="2E4871A1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£62,750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A6E96C" w14:textId="152B9C1D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£64,005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3090DD2" w14:textId="5C096595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£64,645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8442187" w14:textId="4844EFAA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£65,291</w:t>
            </w:r>
          </w:p>
        </w:tc>
      </w:tr>
      <w:tr w:rsidR="00873401" w:rsidRPr="001C477E" w14:paraId="3A920BAC" w14:textId="142F1495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E07C8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2D6BEB" w14:textId="2FBD6240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£64,080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91C07B" w14:textId="31D8653A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£65,362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349FC59" w14:textId="6F8AF8AA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£66,016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6D3561A2" w14:textId="17AB27E0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£66,676</w:t>
            </w:r>
          </w:p>
        </w:tc>
      </w:tr>
      <w:tr w:rsidR="00873401" w:rsidRPr="001C477E" w14:paraId="720843D1" w14:textId="79ADE93D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D688EC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26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E8398" w14:textId="63E6179A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£65,397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AB3B22" w14:textId="4525ABE3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£66,705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F7A76B" w14:textId="41729568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£67,372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FD9BBBB" w14:textId="1C256B0F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£68,046</w:t>
            </w:r>
          </w:p>
        </w:tc>
      </w:tr>
      <w:tr w:rsidR="00873401" w:rsidRPr="001C477E" w14:paraId="3D8FA818" w14:textId="5495CA18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1E992B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27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2969D7" w14:textId="20EDB39A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£66,730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E1886" w14:textId="2E90D2D3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£68,065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0FAA1A2" w14:textId="63DA962A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£68,746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176EF76" w14:textId="6288D824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£69,433</w:t>
            </w:r>
          </w:p>
        </w:tc>
      </w:tr>
      <w:tr w:rsidR="00873401" w:rsidRPr="001C477E" w14:paraId="7DF31E79" w14:textId="09709331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306B46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28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C6F07" w14:textId="3CF00C48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£68,040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6C472B" w14:textId="7A7049E2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£69,401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3E38863" w14:textId="53BFABDD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£70,095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ECB65EA" w14:textId="36D8D809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£70,796</w:t>
            </w:r>
          </w:p>
        </w:tc>
      </w:tr>
      <w:tr w:rsidR="00873401" w:rsidRPr="001C477E" w14:paraId="29B791DF" w14:textId="65C33D87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E510B3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29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66D48" w14:textId="6E04E5CF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£69,376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6B1954" w14:textId="5A961833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£70,764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00764F41" w14:textId="7B31189F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£71,472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E1C5BC8" w14:textId="37E4ADE2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£72,187</w:t>
            </w:r>
          </w:p>
        </w:tc>
      </w:tr>
      <w:tr w:rsidR="00873401" w:rsidRPr="001C477E" w14:paraId="305A545D" w14:textId="6A4A01EA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63D023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30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9C609E" w14:textId="544D2042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£70,700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335BEC" w14:textId="55CA3427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£72,114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555779A" w14:textId="258A75B6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£72,835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4386E70" w14:textId="5AEF7E0F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£73,563</w:t>
            </w:r>
          </w:p>
        </w:tc>
      </w:tr>
      <w:tr w:rsidR="00873401" w:rsidRPr="001C477E" w14:paraId="03447906" w14:textId="59C88343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32F48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31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E7DD9C" w14:textId="2B5B8F02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£72,014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2D55E1" w14:textId="32E4B0D0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£73,454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8198C3E" w14:textId="4BD29AF6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£74,189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C6088E3" w14:textId="30C3DFD0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£74,931</w:t>
            </w:r>
          </w:p>
        </w:tc>
      </w:tr>
      <w:tr w:rsidR="00873401" w:rsidRPr="001C477E" w14:paraId="5EFB343B" w14:textId="2EC5C87A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E39E50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32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4A378F" w14:textId="1AF7E8E4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£73,349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422E69" w14:textId="3C3C81C8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£74,816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F8A6E2A" w14:textId="698FB305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£75,564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4A8BFAB" w14:textId="656E0AA6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£76,320</w:t>
            </w:r>
          </w:p>
        </w:tc>
      </w:tr>
      <w:tr w:rsidR="00873401" w:rsidRPr="001C477E" w14:paraId="035F6B5C" w14:textId="397E19C1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0F9D37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33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50B77" w14:textId="0B95616E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£74,670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59199" w14:textId="0CB132AB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£76,163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DBB0E5B" w14:textId="48D3B6FC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£76,925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35AEE54B" w14:textId="499B6536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£77,694</w:t>
            </w:r>
          </w:p>
        </w:tc>
      </w:tr>
      <w:tr w:rsidR="00873401" w:rsidRPr="001C477E" w14:paraId="6E1013D8" w14:textId="2BE55E59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6548D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34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4033A" w14:textId="4166117E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£76,000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4C6D75" w14:textId="0E965B47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£77,520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4254926" w14:textId="7D1FB829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£78,295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96154D3" w14:textId="69869976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£79,078</w:t>
            </w:r>
          </w:p>
        </w:tc>
      </w:tr>
      <w:tr w:rsidR="00873401" w:rsidRPr="001C477E" w14:paraId="6E8D33BB" w14:textId="3B4CA6CF" w:rsidTr="005B4DF0">
        <w:trPr>
          <w:trHeight w:val="312"/>
        </w:trPr>
        <w:tc>
          <w:tcPr>
            <w:tcW w:w="183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D6267F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35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D5ED5F" w14:textId="4675972F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£77,306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024B6" w14:textId="2FC8946D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£78,852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BFFF61B" w14:textId="44E8FC33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£79,641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06A837FB" w14:textId="6BBA43B1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£80,437</w:t>
            </w:r>
          </w:p>
        </w:tc>
      </w:tr>
      <w:tr w:rsidR="00873401" w:rsidRPr="001C477E" w14:paraId="017FC215" w14:textId="5369AA79" w:rsidTr="005B4DF0">
        <w:trPr>
          <w:trHeight w:val="324"/>
        </w:trPr>
        <w:tc>
          <w:tcPr>
            <w:tcW w:w="18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67010" w14:textId="77777777" w:rsidR="00873401" w:rsidRPr="001C477E" w:rsidRDefault="00873401" w:rsidP="00873401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1C477E">
              <w:rPr>
                <w:rFonts w:cs="Arial"/>
                <w:b/>
                <w:bCs/>
                <w:color w:val="000000"/>
                <w:lang w:eastAsia="en-GB"/>
              </w:rPr>
              <w:t>36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07307F" w14:textId="4B0B140E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£78,639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DC824F" w14:textId="2D90AD4E" w:rsidR="00873401" w:rsidRPr="001C477E" w:rsidRDefault="00873401" w:rsidP="00873401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</w:rPr>
              <w:t>£80,212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20992E1" w14:textId="391FFB62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£81,014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BDCD9C" w14:textId="63C3D8DB" w:rsidR="00873401" w:rsidRPr="00873401" w:rsidRDefault="00873401" w:rsidP="00873401">
            <w:pPr>
              <w:jc w:val="center"/>
              <w:rPr>
                <w:rFonts w:cs="Arial"/>
                <w:color w:val="000000"/>
              </w:rPr>
            </w:pPr>
            <w:r w:rsidRPr="00873401">
              <w:rPr>
                <w:rFonts w:cs="Arial"/>
                <w:color w:val="000000"/>
              </w:rPr>
              <w:t>£81,824</w:t>
            </w:r>
          </w:p>
        </w:tc>
      </w:tr>
    </w:tbl>
    <w:p w14:paraId="6BE8461C" w14:textId="77777777" w:rsidR="00103D21" w:rsidRDefault="00103D21" w:rsidP="001C477E">
      <w:pPr>
        <w:ind w:left="1134" w:hanging="425"/>
        <w:rPr>
          <w:b/>
        </w:rPr>
      </w:pPr>
    </w:p>
    <w:p w14:paraId="0807B68A" w14:textId="77777777" w:rsidR="00AA20FB" w:rsidRDefault="00AA20FB" w:rsidP="00AA20FB">
      <w:pPr>
        <w:rPr>
          <w:b/>
        </w:rPr>
      </w:pPr>
    </w:p>
    <w:p w14:paraId="2AF26E27" w14:textId="73A51F2A" w:rsidR="0022486B" w:rsidRDefault="00AA20FB" w:rsidP="0022486B">
      <w:pPr>
        <w:ind w:left="770" w:hanging="770"/>
        <w:jc w:val="both"/>
      </w:pPr>
      <w:r>
        <w:rPr>
          <w:b/>
        </w:rPr>
        <w:t>Note:</w:t>
      </w:r>
      <w:r>
        <w:tab/>
        <w:t>The Management Spine</w:t>
      </w:r>
      <w:r w:rsidR="00852214">
        <w:t xml:space="preserve"> does n</w:t>
      </w:r>
      <w:r w:rsidR="002B180F">
        <w:t xml:space="preserve">ot show </w:t>
      </w:r>
      <w:r w:rsidR="002B180F" w:rsidRPr="00A86F0B">
        <w:t xml:space="preserve">the </w:t>
      </w:r>
      <w:r w:rsidR="008B7C35">
        <w:t xml:space="preserve">£2,801 (September </w:t>
      </w:r>
      <w:r w:rsidR="008B7C35" w:rsidRPr="0034413C">
        <w:t>2021</w:t>
      </w:r>
      <w:r w:rsidR="0051022F" w:rsidRPr="0034413C">
        <w:t>)</w:t>
      </w:r>
      <w:r w:rsidR="008B7C35" w:rsidRPr="0034413C">
        <w:t xml:space="preserve">/£2,829 </w:t>
      </w:r>
      <w:r w:rsidR="0051022F" w:rsidRPr="0034413C">
        <w:t>(</w:t>
      </w:r>
      <w:r w:rsidR="008B7C35" w:rsidRPr="0034413C">
        <w:t xml:space="preserve">September 2022) </w:t>
      </w:r>
      <w:r w:rsidRPr="0034413C">
        <w:t>payment for members of staff on the management spine who apply for and are awarded a Threshold payment or who have carried such</w:t>
      </w:r>
      <w:r>
        <w:t xml:space="preserve"> payment from another scale.</w:t>
      </w:r>
      <w:r w:rsidR="0022486B" w:rsidRPr="0022486B">
        <w:t xml:space="preserve"> </w:t>
      </w:r>
    </w:p>
    <w:p w14:paraId="3178AA79" w14:textId="77777777" w:rsidR="00AA20FB" w:rsidRPr="00342CF3" w:rsidRDefault="00AA20FB" w:rsidP="00342CF3">
      <w:pPr>
        <w:numPr>
          <w:ilvl w:val="0"/>
          <w:numId w:val="4"/>
        </w:numPr>
        <w:tabs>
          <w:tab w:val="clear" w:pos="1080"/>
        </w:tabs>
        <w:ind w:left="709"/>
        <w:rPr>
          <w:b/>
        </w:rPr>
      </w:pPr>
      <w:r w:rsidRPr="00342CF3">
        <w:rPr>
          <w:b/>
        </w:rPr>
        <w:lastRenderedPageBreak/>
        <w:t>Payment of Part-time Hourly-Paid Teachers</w:t>
      </w:r>
    </w:p>
    <w:p w14:paraId="7D30A627" w14:textId="77777777" w:rsidR="00AA20FB" w:rsidRDefault="00AA20FB" w:rsidP="00AA20FB"/>
    <w:p w14:paraId="4E632595" w14:textId="77777777" w:rsidR="00AA20FB" w:rsidRDefault="00AA20FB" w:rsidP="00342CF3">
      <w:pPr>
        <w:pStyle w:val="BodyTextIndent3"/>
        <w:ind w:leftChars="295" w:left="709" w:firstLineChars="0" w:hanging="1"/>
      </w:pPr>
      <w:r>
        <w:t>The hourly rates for part-time teaching shall be set out in the table below.</w:t>
      </w:r>
    </w:p>
    <w:p w14:paraId="4CA5ADA7" w14:textId="77777777" w:rsidR="00AA20FB" w:rsidRDefault="00AA20FB" w:rsidP="00AA20FB"/>
    <w:p w14:paraId="0B03C86C" w14:textId="77777777" w:rsidR="00AA20FB" w:rsidRDefault="00AA20FB" w:rsidP="00AA20FB"/>
    <w:tbl>
      <w:tblPr>
        <w:tblW w:w="9277" w:type="dxa"/>
        <w:tblInd w:w="118" w:type="dxa"/>
        <w:tblLook w:val="04A0" w:firstRow="1" w:lastRow="0" w:firstColumn="1" w:lastColumn="0" w:noHBand="0" w:noVBand="1"/>
      </w:tblPr>
      <w:tblGrid>
        <w:gridCol w:w="1258"/>
        <w:gridCol w:w="2261"/>
        <w:gridCol w:w="964"/>
        <w:gridCol w:w="964"/>
        <w:gridCol w:w="964"/>
        <w:gridCol w:w="964"/>
        <w:gridCol w:w="951"/>
        <w:gridCol w:w="951"/>
      </w:tblGrid>
      <w:tr w:rsidR="00D54E80" w:rsidRPr="0032207B" w14:paraId="53ACEEC4" w14:textId="5E44A58D" w:rsidTr="00D54E80">
        <w:trPr>
          <w:trHeight w:val="113"/>
        </w:trPr>
        <w:tc>
          <w:tcPr>
            <w:tcW w:w="12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2C882A" w14:textId="77777777" w:rsidR="00D54E80" w:rsidRPr="0032207B" w:rsidRDefault="00D54E80" w:rsidP="00D54E80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207B">
              <w:rPr>
                <w:rFonts w:cs="Arial"/>
                <w:b/>
                <w:bCs/>
                <w:color w:val="000000"/>
                <w:lang w:eastAsia="en-GB"/>
              </w:rPr>
              <w:t>Category</w:t>
            </w:r>
          </w:p>
        </w:tc>
        <w:tc>
          <w:tcPr>
            <w:tcW w:w="25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707E2F" w14:textId="77777777" w:rsidR="00D54E80" w:rsidRPr="0032207B" w:rsidRDefault="00D54E80" w:rsidP="00D54E80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207B">
              <w:rPr>
                <w:rFonts w:cs="Arial"/>
                <w:b/>
                <w:bCs/>
                <w:color w:val="000000"/>
                <w:lang w:eastAsia="en-GB"/>
              </w:rPr>
              <w:t>Standard of Courses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A5C37E" w14:textId="77777777" w:rsidR="00D54E80" w:rsidRPr="0032207B" w:rsidRDefault="00D54E80" w:rsidP="00D54E80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207B">
              <w:rPr>
                <w:rFonts w:cs="Arial"/>
                <w:b/>
                <w:bCs/>
                <w:color w:val="000000"/>
                <w:lang w:eastAsia="en-GB"/>
              </w:rPr>
              <w:t>Rate per Hour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497A42" w14:textId="77777777" w:rsidR="00D54E80" w:rsidRPr="0032207B" w:rsidRDefault="00D54E80" w:rsidP="00D54E80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207B">
              <w:rPr>
                <w:rFonts w:cs="Arial"/>
                <w:b/>
                <w:bCs/>
                <w:color w:val="000000"/>
                <w:lang w:eastAsia="en-GB"/>
              </w:rPr>
              <w:t>Rate per Hour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42CBD" w14:textId="77777777" w:rsidR="00D54E80" w:rsidRPr="0032207B" w:rsidRDefault="00D54E80" w:rsidP="00D54E80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207B">
              <w:rPr>
                <w:rFonts w:cs="Arial"/>
                <w:b/>
                <w:bCs/>
                <w:color w:val="000000"/>
                <w:lang w:eastAsia="en-GB"/>
              </w:rPr>
              <w:t>Rate per Hour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9524AD" w14:textId="77777777" w:rsidR="00D54E80" w:rsidRPr="0032207B" w:rsidRDefault="00D54E80" w:rsidP="00D54E80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207B">
              <w:rPr>
                <w:rFonts w:cs="Arial"/>
                <w:b/>
                <w:bCs/>
                <w:color w:val="000000"/>
                <w:lang w:eastAsia="en-GB"/>
              </w:rPr>
              <w:t>Rate per Hour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554F88FF" w14:textId="64392013" w:rsidR="00D54E80" w:rsidRPr="0032207B" w:rsidRDefault="00D54E80" w:rsidP="00D54E80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207B">
              <w:rPr>
                <w:rFonts w:cs="Arial"/>
                <w:b/>
                <w:bCs/>
                <w:color w:val="000000"/>
                <w:lang w:eastAsia="en-GB"/>
              </w:rPr>
              <w:t>Rate per Hour</w:t>
            </w:r>
          </w:p>
        </w:tc>
        <w:tc>
          <w:tcPr>
            <w:tcW w:w="7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0A8FEAB7" w14:textId="04A2F398" w:rsidR="00D54E80" w:rsidRPr="0032207B" w:rsidRDefault="00D54E80" w:rsidP="00D54E80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207B">
              <w:rPr>
                <w:rFonts w:cs="Arial"/>
                <w:b/>
                <w:bCs/>
                <w:color w:val="000000"/>
                <w:lang w:eastAsia="en-GB"/>
              </w:rPr>
              <w:t>Rate per Hour</w:t>
            </w:r>
          </w:p>
        </w:tc>
      </w:tr>
      <w:tr w:rsidR="00D54E80" w:rsidRPr="0032207B" w14:paraId="26183564" w14:textId="113BB444" w:rsidTr="009D3E9A">
        <w:trPr>
          <w:trHeight w:val="850"/>
        </w:trPr>
        <w:tc>
          <w:tcPr>
            <w:tcW w:w="12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50C107" w14:textId="77777777" w:rsidR="00D54E80" w:rsidRPr="0032207B" w:rsidRDefault="00D54E80" w:rsidP="00D54E80">
            <w:pPr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25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09EBA2" w14:textId="77777777" w:rsidR="00D54E80" w:rsidRPr="0032207B" w:rsidRDefault="00D54E80" w:rsidP="00D54E80">
            <w:pPr>
              <w:rPr>
                <w:rFonts w:cs="Arial"/>
                <w:b/>
                <w:bCs/>
                <w:color w:val="000000"/>
                <w:lang w:eastAsia="en-GB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A16145" w14:textId="5F920285" w:rsidR="00D54E80" w:rsidRPr="0032207B" w:rsidRDefault="00D54E80" w:rsidP="00D54E80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207B">
              <w:rPr>
                <w:rFonts w:cs="Arial"/>
                <w:b/>
                <w:bCs/>
                <w:color w:val="000000"/>
                <w:lang w:eastAsia="en-GB"/>
              </w:rPr>
              <w:t>(£) - 201</w:t>
            </w:r>
            <w:r>
              <w:rPr>
                <w:rFonts w:cs="Arial"/>
                <w:b/>
                <w:bCs/>
                <w:color w:val="000000"/>
                <w:lang w:eastAsia="en-GB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1D6F7B" w14:textId="2B88F380" w:rsidR="00D54E80" w:rsidRPr="0032207B" w:rsidRDefault="00D54E80" w:rsidP="00D54E80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207B">
              <w:rPr>
                <w:rFonts w:cs="Arial"/>
                <w:b/>
                <w:bCs/>
                <w:color w:val="000000"/>
                <w:lang w:eastAsia="en-GB"/>
              </w:rPr>
              <w:t>(£) - 201</w:t>
            </w:r>
            <w:r>
              <w:rPr>
                <w:rFonts w:cs="Arial"/>
                <w:b/>
                <w:bCs/>
                <w:color w:val="000000"/>
                <w:lang w:eastAsia="en-GB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A8C3C" w14:textId="4B456C06" w:rsidR="00D54E80" w:rsidRPr="0032207B" w:rsidRDefault="00D54E80" w:rsidP="00D54E80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207B">
              <w:rPr>
                <w:rFonts w:cs="Arial"/>
                <w:b/>
                <w:bCs/>
                <w:color w:val="000000"/>
                <w:lang w:eastAsia="en-GB"/>
              </w:rPr>
              <w:t>(£) - 201</w:t>
            </w:r>
            <w:r>
              <w:rPr>
                <w:rFonts w:cs="Arial"/>
                <w:b/>
                <w:bCs/>
                <w:color w:val="000000"/>
                <w:lang w:eastAsia="en-GB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2CFBC" w14:textId="7B353010" w:rsidR="00D54E80" w:rsidRPr="0032207B" w:rsidRDefault="00D54E80" w:rsidP="00D54E80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207B">
              <w:rPr>
                <w:rFonts w:cs="Arial"/>
                <w:b/>
                <w:bCs/>
                <w:color w:val="000000"/>
                <w:lang w:eastAsia="en-GB"/>
              </w:rPr>
              <w:t>(£) - 20</w:t>
            </w:r>
            <w:r>
              <w:rPr>
                <w:rFonts w:cs="Arial"/>
                <w:b/>
                <w:bCs/>
                <w:color w:val="000000"/>
                <w:lang w:eastAsia="en-GB"/>
              </w:rPr>
              <w:t>20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1535DE0" w14:textId="3F58F509" w:rsidR="00D54E80" w:rsidRPr="0032207B" w:rsidRDefault="00D54E80" w:rsidP="00D54E80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207B">
              <w:rPr>
                <w:rFonts w:cs="Arial"/>
                <w:b/>
                <w:bCs/>
                <w:color w:val="000000"/>
                <w:lang w:eastAsia="en-GB"/>
              </w:rPr>
              <w:t>(£) - 20</w:t>
            </w:r>
            <w:r>
              <w:rPr>
                <w:rFonts w:cs="Arial"/>
                <w:b/>
                <w:bCs/>
                <w:color w:val="000000"/>
                <w:lang w:eastAsia="en-GB"/>
              </w:rPr>
              <w:t>21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7F531E" w14:textId="3E26379F" w:rsidR="00D54E80" w:rsidRPr="0032207B" w:rsidRDefault="00D54E80" w:rsidP="00D54E80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207B">
              <w:rPr>
                <w:rFonts w:cs="Arial"/>
                <w:b/>
                <w:bCs/>
                <w:color w:val="000000"/>
                <w:lang w:eastAsia="en-GB"/>
              </w:rPr>
              <w:t>(£) - 20</w:t>
            </w:r>
            <w:r>
              <w:rPr>
                <w:rFonts w:cs="Arial"/>
                <w:b/>
                <w:bCs/>
                <w:color w:val="000000"/>
                <w:lang w:eastAsia="en-GB"/>
              </w:rPr>
              <w:t>22</w:t>
            </w:r>
          </w:p>
        </w:tc>
      </w:tr>
      <w:tr w:rsidR="009D3E9A" w:rsidRPr="0032207B" w14:paraId="76FEE41F" w14:textId="727D521A" w:rsidTr="00C37FC8">
        <w:trPr>
          <w:trHeight w:val="3568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C50BDB" w14:textId="77777777" w:rsidR="009D3E9A" w:rsidRPr="0032207B" w:rsidRDefault="009D3E9A" w:rsidP="000558D5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207B">
              <w:rPr>
                <w:rFonts w:cs="Arial"/>
                <w:b/>
                <w:bCs/>
                <w:color w:val="000000"/>
                <w:lang w:eastAsia="en-GB"/>
              </w:rPr>
              <w:t>II/III</w:t>
            </w:r>
          </w:p>
        </w:tc>
        <w:tc>
          <w:tcPr>
            <w:tcW w:w="25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6491D2" w14:textId="77777777" w:rsidR="009D3E9A" w:rsidRPr="0032207B" w:rsidRDefault="009D3E9A" w:rsidP="000558D5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32207B">
              <w:rPr>
                <w:rFonts w:cs="Arial"/>
                <w:color w:val="000000"/>
                <w:lang w:eastAsia="en-GB"/>
              </w:rPr>
              <w:t>Courses above National Certificate or equivalent standard leading directly to a university degree or equivalent qualification and courses of equivalent standard but not necessarily leading to a university degree or equivalent qualification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3B0726" w14:textId="2A0D8129" w:rsidR="009D3E9A" w:rsidRPr="0032207B" w:rsidRDefault="009D3E9A" w:rsidP="000558D5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32207B">
              <w:rPr>
                <w:rFonts w:cs="Arial"/>
                <w:color w:val="000000"/>
                <w:lang w:eastAsia="en-GB"/>
              </w:rPr>
              <w:t>£36.03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8DF8D3" w14:textId="0955E216" w:rsidR="009D3E9A" w:rsidRPr="0032207B" w:rsidRDefault="009D3E9A" w:rsidP="000558D5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32207B">
              <w:rPr>
                <w:rFonts w:cs="Arial"/>
                <w:color w:val="000000"/>
                <w:lang w:eastAsia="en-GB"/>
              </w:rPr>
              <w:t>£36.03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F7D17" w14:textId="14566072" w:rsidR="009D3E9A" w:rsidRPr="0032207B" w:rsidRDefault="009D3E9A" w:rsidP="000558D5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32207B">
              <w:rPr>
                <w:rFonts w:cs="Arial"/>
                <w:color w:val="000000"/>
                <w:lang w:eastAsia="en-GB"/>
              </w:rPr>
              <w:t>£36.03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BE84F1" w14:textId="77777777" w:rsidR="009D3E9A" w:rsidRPr="0032207B" w:rsidRDefault="009D3E9A" w:rsidP="000558D5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32207B">
              <w:rPr>
                <w:rFonts w:cs="Arial"/>
                <w:color w:val="000000"/>
                <w:lang w:eastAsia="en-GB"/>
              </w:rPr>
              <w:t>£36.03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87B07D" w14:textId="4855A959" w:rsidR="009D3E9A" w:rsidRPr="0032207B" w:rsidRDefault="00C37FC8" w:rsidP="00C37FC8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£36.39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CC39220" w14:textId="194EA848" w:rsidR="009D3E9A" w:rsidRPr="0032207B" w:rsidRDefault="00C37FC8" w:rsidP="00C37FC8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£36.75</w:t>
            </w:r>
          </w:p>
        </w:tc>
      </w:tr>
      <w:tr w:rsidR="009D3E9A" w:rsidRPr="0032207B" w14:paraId="0F270EEA" w14:textId="67266C79" w:rsidTr="005A52D5">
        <w:trPr>
          <w:trHeight w:val="3132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124BBA" w14:textId="77777777" w:rsidR="009D3E9A" w:rsidRPr="0032207B" w:rsidRDefault="009D3E9A" w:rsidP="000558D5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207B">
              <w:rPr>
                <w:rFonts w:cs="Arial"/>
                <w:b/>
                <w:bCs/>
                <w:color w:val="000000"/>
                <w:lang w:eastAsia="en-GB"/>
              </w:rPr>
              <w:t>IV</w:t>
            </w:r>
          </w:p>
        </w:tc>
        <w:tc>
          <w:tcPr>
            <w:tcW w:w="25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FE1A2" w14:textId="77777777" w:rsidR="009D3E9A" w:rsidRPr="0032207B" w:rsidRDefault="009D3E9A" w:rsidP="000558D5">
            <w:pPr>
              <w:jc w:val="both"/>
              <w:rPr>
                <w:rFonts w:cs="Arial"/>
                <w:color w:val="000000"/>
                <w:lang w:eastAsia="en-GB"/>
              </w:rPr>
            </w:pPr>
            <w:r w:rsidRPr="0032207B">
              <w:rPr>
                <w:rFonts w:cs="Arial"/>
                <w:color w:val="000000"/>
                <w:lang w:eastAsia="en-GB"/>
              </w:rPr>
              <w:t>Courses above the level of the General Certificate of Secondary Education or comparable level leading directly to the National Certificate, or courses or parts of courses of a comparable standard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FCD21" w14:textId="7EF3A8F5" w:rsidR="009D3E9A" w:rsidRPr="0032207B" w:rsidRDefault="009D3E9A" w:rsidP="000558D5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32207B">
              <w:rPr>
                <w:rFonts w:cs="Arial"/>
                <w:color w:val="000000"/>
                <w:lang w:eastAsia="en-GB"/>
              </w:rPr>
              <w:t>£30.77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5D5D8F" w14:textId="28A6B290" w:rsidR="009D3E9A" w:rsidRPr="0032207B" w:rsidRDefault="009D3E9A" w:rsidP="000558D5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32207B">
              <w:rPr>
                <w:rFonts w:cs="Arial"/>
                <w:color w:val="000000"/>
                <w:lang w:eastAsia="en-GB"/>
              </w:rPr>
              <w:t>£30.77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DAE016" w14:textId="3F5ECD9C" w:rsidR="009D3E9A" w:rsidRPr="0032207B" w:rsidRDefault="009D3E9A" w:rsidP="000558D5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32207B">
              <w:rPr>
                <w:rFonts w:cs="Arial"/>
                <w:color w:val="000000"/>
                <w:lang w:eastAsia="en-GB"/>
              </w:rPr>
              <w:t>£30.77</w:t>
            </w:r>
          </w:p>
        </w:tc>
        <w:tc>
          <w:tcPr>
            <w:tcW w:w="97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D37B1F" w14:textId="77777777" w:rsidR="009D3E9A" w:rsidRPr="0032207B" w:rsidRDefault="009D3E9A" w:rsidP="000558D5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32207B">
              <w:rPr>
                <w:rFonts w:cs="Arial"/>
                <w:color w:val="000000"/>
                <w:lang w:eastAsia="en-GB"/>
              </w:rPr>
              <w:t>£30.77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64CAF82" w14:textId="6E014BB6" w:rsidR="009D3E9A" w:rsidRPr="0032207B" w:rsidRDefault="005A52D5" w:rsidP="005A52D5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£31.08</w:t>
            </w:r>
          </w:p>
        </w:tc>
        <w:tc>
          <w:tcPr>
            <w:tcW w:w="776" w:type="dxa"/>
            <w:tcBorders>
              <w:top w:val="nil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1C4C67" w14:textId="7A762382" w:rsidR="009D3E9A" w:rsidRPr="0032207B" w:rsidRDefault="005A52D5" w:rsidP="005A52D5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£31.39</w:t>
            </w:r>
          </w:p>
        </w:tc>
      </w:tr>
      <w:tr w:rsidR="00D54E80" w:rsidRPr="0032207B" w14:paraId="5AFA862F" w14:textId="25F125C3" w:rsidTr="005A52D5">
        <w:trPr>
          <w:trHeight w:val="1134"/>
        </w:trPr>
        <w:tc>
          <w:tcPr>
            <w:tcW w:w="12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55F8A9" w14:textId="77777777" w:rsidR="00D54E80" w:rsidRPr="0032207B" w:rsidRDefault="00D54E80" w:rsidP="000558D5">
            <w:pPr>
              <w:jc w:val="center"/>
              <w:rPr>
                <w:rFonts w:cs="Arial"/>
                <w:b/>
                <w:bCs/>
                <w:color w:val="000000"/>
                <w:lang w:eastAsia="en-GB"/>
              </w:rPr>
            </w:pPr>
            <w:r w:rsidRPr="0032207B">
              <w:rPr>
                <w:rFonts w:cs="Arial"/>
                <w:b/>
                <w:bCs/>
                <w:color w:val="000000"/>
                <w:lang w:eastAsia="en-GB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3147EE" w14:textId="77777777" w:rsidR="00D54E80" w:rsidRPr="0032207B" w:rsidRDefault="00D54E80" w:rsidP="000558D5">
            <w:pPr>
              <w:jc w:val="both"/>
              <w:rPr>
                <w:rFonts w:cs="Arial"/>
                <w:color w:val="000000"/>
                <w:lang w:eastAsia="en-GB"/>
              </w:rPr>
            </w:pPr>
            <w:r w:rsidRPr="0032207B">
              <w:rPr>
                <w:rFonts w:cs="Arial"/>
                <w:color w:val="000000"/>
                <w:lang w:eastAsia="en-GB"/>
              </w:rPr>
              <w:t>Courses other than those described above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15BD1" w14:textId="43AE1C8F" w:rsidR="00D54E80" w:rsidRPr="0032207B" w:rsidRDefault="00D54E80" w:rsidP="000558D5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32207B">
              <w:rPr>
                <w:rFonts w:cs="Arial"/>
                <w:color w:val="000000"/>
                <w:lang w:eastAsia="en-GB"/>
              </w:rPr>
              <w:t>£22.59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C190C" w14:textId="5A770165" w:rsidR="00D54E80" w:rsidRPr="0032207B" w:rsidRDefault="00D54E80" w:rsidP="000558D5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32207B">
              <w:rPr>
                <w:rFonts w:cs="Arial"/>
                <w:color w:val="000000"/>
                <w:lang w:eastAsia="en-GB"/>
              </w:rPr>
              <w:t>£22.59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9BD13" w14:textId="09881BF2" w:rsidR="00D54E80" w:rsidRPr="0032207B" w:rsidRDefault="00D54E80" w:rsidP="000558D5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32207B">
              <w:rPr>
                <w:rFonts w:cs="Arial"/>
                <w:color w:val="000000"/>
                <w:lang w:eastAsia="en-GB"/>
              </w:rPr>
              <w:t>£22.59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8741F8" w14:textId="77777777" w:rsidR="00D54E80" w:rsidRPr="0032207B" w:rsidRDefault="00D54E80" w:rsidP="000558D5">
            <w:pPr>
              <w:jc w:val="center"/>
              <w:rPr>
                <w:rFonts w:cs="Arial"/>
                <w:color w:val="000000"/>
                <w:lang w:eastAsia="en-GB"/>
              </w:rPr>
            </w:pPr>
            <w:r w:rsidRPr="0032207B">
              <w:rPr>
                <w:rFonts w:cs="Arial"/>
                <w:color w:val="000000"/>
                <w:lang w:eastAsia="en-GB"/>
              </w:rPr>
              <w:t>£22.59</w:t>
            </w: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FCFE7E5" w14:textId="7C2E89BA" w:rsidR="00D54E80" w:rsidRPr="0032207B" w:rsidRDefault="005A52D5" w:rsidP="005A52D5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£22.82</w:t>
            </w:r>
          </w:p>
        </w:tc>
        <w:tc>
          <w:tcPr>
            <w:tcW w:w="776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F42615D" w14:textId="0AFE064B" w:rsidR="00D54E80" w:rsidRPr="0032207B" w:rsidRDefault="005A52D5" w:rsidP="005A52D5">
            <w:pPr>
              <w:jc w:val="center"/>
              <w:rPr>
                <w:rFonts w:cs="Arial"/>
                <w:color w:val="000000"/>
                <w:lang w:eastAsia="en-GB"/>
              </w:rPr>
            </w:pPr>
            <w:r>
              <w:rPr>
                <w:rFonts w:cs="Arial"/>
                <w:color w:val="000000"/>
                <w:lang w:eastAsia="en-GB"/>
              </w:rPr>
              <w:t>£23.05</w:t>
            </w:r>
          </w:p>
        </w:tc>
      </w:tr>
    </w:tbl>
    <w:p w14:paraId="57FA90AA" w14:textId="77777777" w:rsidR="0032207B" w:rsidRDefault="0032207B" w:rsidP="00852214">
      <w:pPr>
        <w:rPr>
          <w:b/>
        </w:rPr>
      </w:pPr>
    </w:p>
    <w:p w14:paraId="7CC58416" w14:textId="77777777" w:rsidR="00730350" w:rsidRDefault="00730350" w:rsidP="00AA20FB"/>
    <w:p w14:paraId="72924051" w14:textId="77777777" w:rsidR="00350A39" w:rsidRDefault="00350A39" w:rsidP="00AA20FB"/>
    <w:p w14:paraId="58D573F7" w14:textId="77777777" w:rsidR="00350A39" w:rsidRDefault="00350A39" w:rsidP="00AA20FB"/>
    <w:p w14:paraId="08B12281" w14:textId="77777777" w:rsidR="00350A39" w:rsidRDefault="00350A39" w:rsidP="00AA20FB"/>
    <w:p w14:paraId="2D963B3A" w14:textId="77777777" w:rsidR="00350A39" w:rsidRDefault="00350A39" w:rsidP="00AA20FB"/>
    <w:p w14:paraId="5D9AB5F8" w14:textId="77777777" w:rsidR="00350A39" w:rsidRDefault="00350A39" w:rsidP="00AA20FB"/>
    <w:p w14:paraId="2ED79D98" w14:textId="77777777" w:rsidR="00350A39" w:rsidRDefault="00350A39" w:rsidP="00AA20FB"/>
    <w:p w14:paraId="406928AB" w14:textId="77777777" w:rsidR="001C5591" w:rsidRDefault="007D7B7F" w:rsidP="0046158B">
      <w:pPr>
        <w:numPr>
          <w:ilvl w:val="0"/>
          <w:numId w:val="4"/>
        </w:numPr>
        <w:tabs>
          <w:tab w:val="clear" w:pos="1080"/>
        </w:tabs>
        <w:ind w:left="709"/>
        <w:jc w:val="both"/>
        <w:rPr>
          <w:b/>
        </w:rPr>
      </w:pPr>
      <w:r w:rsidRPr="005140F5">
        <w:rPr>
          <w:b/>
        </w:rPr>
        <w:lastRenderedPageBreak/>
        <w:t>Deane Agreement</w:t>
      </w:r>
      <w:r>
        <w:rPr>
          <w:b/>
        </w:rPr>
        <w:t xml:space="preserve"> </w:t>
      </w:r>
    </w:p>
    <w:p w14:paraId="1D49F886" w14:textId="77777777" w:rsidR="001C5591" w:rsidRDefault="001C5591" w:rsidP="001C5591">
      <w:pPr>
        <w:ind w:left="709"/>
        <w:jc w:val="both"/>
        <w:rPr>
          <w:b/>
        </w:rPr>
      </w:pPr>
    </w:p>
    <w:p w14:paraId="39CFDC56" w14:textId="60F79CB1" w:rsidR="0046158B" w:rsidRPr="0046158B" w:rsidRDefault="007D7B7F" w:rsidP="001C5591">
      <w:pPr>
        <w:ind w:left="709"/>
        <w:jc w:val="both"/>
        <w:rPr>
          <w:b/>
        </w:rPr>
      </w:pPr>
      <w:r>
        <w:rPr>
          <w:b/>
        </w:rPr>
        <w:t>1 September 20</w:t>
      </w:r>
      <w:r w:rsidR="002F68E8">
        <w:rPr>
          <w:b/>
        </w:rPr>
        <w:t>21</w:t>
      </w:r>
    </w:p>
    <w:p w14:paraId="764496CC" w14:textId="77777777" w:rsidR="007D7B7F" w:rsidRDefault="007D7B7F" w:rsidP="007D7B7F">
      <w:pPr>
        <w:jc w:val="both"/>
      </w:pPr>
    </w:p>
    <w:p w14:paraId="4059FBDB" w14:textId="18BDFE7C" w:rsidR="00632233" w:rsidRDefault="007D7B7F" w:rsidP="006144EB">
      <w:pPr>
        <w:numPr>
          <w:ilvl w:val="1"/>
          <w:numId w:val="12"/>
        </w:numPr>
        <w:ind w:left="709" w:hanging="709"/>
        <w:jc w:val="both"/>
        <w:rPr>
          <w:rFonts w:cs="Arial"/>
        </w:rPr>
      </w:pPr>
      <w:r w:rsidRPr="006144EB">
        <w:rPr>
          <w:rFonts w:cs="Arial"/>
        </w:rPr>
        <w:t xml:space="preserve">All Lecturers who have been on the threshold pay point for at least two years </w:t>
      </w:r>
      <w:r w:rsidR="0022486B" w:rsidRPr="006144EB">
        <w:rPr>
          <w:rFonts w:cs="Arial"/>
        </w:rPr>
        <w:t>(at 1</w:t>
      </w:r>
      <w:r w:rsidR="00C5234D">
        <w:rPr>
          <w:rFonts w:cs="Arial"/>
        </w:rPr>
        <w:t> </w:t>
      </w:r>
      <w:r w:rsidR="0022486B" w:rsidRPr="006144EB">
        <w:rPr>
          <w:rFonts w:cs="Arial"/>
        </w:rPr>
        <w:t>September 20</w:t>
      </w:r>
      <w:r w:rsidR="00455447">
        <w:rPr>
          <w:rFonts w:cs="Arial"/>
        </w:rPr>
        <w:t>21</w:t>
      </w:r>
      <w:r w:rsidRPr="006144EB">
        <w:rPr>
          <w:rFonts w:cs="Arial"/>
        </w:rPr>
        <w:t xml:space="preserve">) `will receive a further award </w:t>
      </w:r>
      <w:r w:rsidRPr="00A86F0B">
        <w:rPr>
          <w:rFonts w:cs="Arial"/>
        </w:rPr>
        <w:t>of £1,</w:t>
      </w:r>
      <w:r w:rsidR="000558D5">
        <w:rPr>
          <w:rFonts w:cs="Arial"/>
        </w:rPr>
        <w:t>4</w:t>
      </w:r>
      <w:r w:rsidR="00455447">
        <w:rPr>
          <w:rFonts w:cs="Arial"/>
        </w:rPr>
        <w:t>57</w:t>
      </w:r>
      <w:r w:rsidRPr="00A86F0B">
        <w:rPr>
          <w:rFonts w:cs="Arial"/>
        </w:rPr>
        <w:t xml:space="preserve"> from</w:t>
      </w:r>
      <w:r w:rsidRPr="006144EB">
        <w:rPr>
          <w:rFonts w:cs="Arial"/>
        </w:rPr>
        <w:t xml:space="preserve"> 1 September 20</w:t>
      </w:r>
      <w:r w:rsidR="00455447">
        <w:rPr>
          <w:rFonts w:cs="Arial"/>
        </w:rPr>
        <w:t>21</w:t>
      </w:r>
      <w:r w:rsidRPr="006144EB">
        <w:rPr>
          <w:rFonts w:cs="Arial"/>
        </w:rPr>
        <w:t xml:space="preserve">.  </w:t>
      </w:r>
      <w:r w:rsidR="00632233" w:rsidRPr="006144EB">
        <w:rPr>
          <w:rFonts w:cs="Arial"/>
        </w:rPr>
        <w:t>This award will be consolidated and pensionable.</w:t>
      </w:r>
    </w:p>
    <w:p w14:paraId="571FE230" w14:textId="359057DC" w:rsidR="006144EB" w:rsidRDefault="007D7B7F" w:rsidP="006144EB">
      <w:pPr>
        <w:numPr>
          <w:ilvl w:val="1"/>
          <w:numId w:val="12"/>
        </w:numPr>
        <w:spacing w:before="120"/>
        <w:ind w:left="709" w:hanging="709"/>
        <w:jc w:val="both"/>
        <w:rPr>
          <w:rFonts w:cs="Arial"/>
        </w:rPr>
      </w:pPr>
      <w:r w:rsidRPr="006144EB">
        <w:rPr>
          <w:rFonts w:cs="Arial"/>
        </w:rPr>
        <w:t xml:space="preserve">All Lecturers who move on to the threshold point </w:t>
      </w:r>
      <w:r w:rsidR="00935BD5" w:rsidRPr="006144EB">
        <w:rPr>
          <w:rFonts w:cs="Arial"/>
        </w:rPr>
        <w:t>(at 1 September 20</w:t>
      </w:r>
      <w:r w:rsidR="00290675">
        <w:rPr>
          <w:rFonts w:cs="Arial"/>
        </w:rPr>
        <w:t>21</w:t>
      </w:r>
      <w:r w:rsidRPr="006144EB">
        <w:rPr>
          <w:rFonts w:cs="Arial"/>
        </w:rPr>
        <w:t xml:space="preserve">) will receive a further award </w:t>
      </w:r>
      <w:r w:rsidRPr="00A86F0B">
        <w:rPr>
          <w:rFonts w:cs="Arial"/>
        </w:rPr>
        <w:t xml:space="preserve">of </w:t>
      </w:r>
      <w:r w:rsidRPr="00093541">
        <w:rPr>
          <w:rFonts w:cs="Arial"/>
        </w:rPr>
        <w:t>£</w:t>
      </w:r>
      <w:r w:rsidR="00093541" w:rsidRPr="00093541">
        <w:rPr>
          <w:rFonts w:cs="Arial"/>
        </w:rPr>
        <w:t>1</w:t>
      </w:r>
      <w:r w:rsidR="00573882" w:rsidRPr="00093541">
        <w:rPr>
          <w:rFonts w:cs="Arial"/>
        </w:rPr>
        <w:t>,</w:t>
      </w:r>
      <w:r w:rsidR="004A4793">
        <w:rPr>
          <w:rFonts w:cs="Arial"/>
        </w:rPr>
        <w:t>4</w:t>
      </w:r>
      <w:r w:rsidR="00290675">
        <w:rPr>
          <w:rFonts w:cs="Arial"/>
        </w:rPr>
        <w:t>57</w:t>
      </w:r>
      <w:r w:rsidRPr="00A86F0B">
        <w:rPr>
          <w:rFonts w:cs="Arial"/>
        </w:rPr>
        <w:t xml:space="preserve"> (or t</w:t>
      </w:r>
      <w:r w:rsidRPr="006144EB">
        <w:rPr>
          <w:rFonts w:cs="Arial"/>
        </w:rPr>
        <w:t xml:space="preserve">he relevant figure at that point in time), on completion of two years’ service </w:t>
      </w:r>
      <w:r w:rsidR="006144EB">
        <w:rPr>
          <w:rFonts w:cs="Arial"/>
        </w:rPr>
        <w:t>on the threshold pay point.</w:t>
      </w:r>
    </w:p>
    <w:p w14:paraId="7D353F46" w14:textId="77777777" w:rsidR="001C5591" w:rsidRDefault="001C5591" w:rsidP="001C5591">
      <w:pPr>
        <w:ind w:left="360"/>
        <w:jc w:val="both"/>
        <w:rPr>
          <w:b/>
        </w:rPr>
      </w:pPr>
    </w:p>
    <w:p w14:paraId="7EC95996" w14:textId="2A898559" w:rsidR="001C5591" w:rsidRDefault="001C5591" w:rsidP="001C5591">
      <w:pPr>
        <w:ind w:left="360" w:firstLine="349"/>
        <w:jc w:val="both"/>
        <w:rPr>
          <w:b/>
        </w:rPr>
      </w:pPr>
      <w:r>
        <w:rPr>
          <w:b/>
        </w:rPr>
        <w:t>1 September 20</w:t>
      </w:r>
      <w:r w:rsidR="004A4793">
        <w:rPr>
          <w:b/>
        </w:rPr>
        <w:t>2</w:t>
      </w:r>
      <w:r w:rsidR="002F68E8">
        <w:rPr>
          <w:b/>
        </w:rPr>
        <w:t>2</w:t>
      </w:r>
    </w:p>
    <w:p w14:paraId="0D7EC4C2" w14:textId="77777777" w:rsidR="001C5591" w:rsidRPr="0046158B" w:rsidRDefault="001C5591" w:rsidP="001C5591">
      <w:pPr>
        <w:jc w:val="both"/>
        <w:rPr>
          <w:b/>
        </w:rPr>
      </w:pPr>
    </w:p>
    <w:p w14:paraId="534F044B" w14:textId="31F5864F" w:rsidR="001C5591" w:rsidRDefault="001C5591" w:rsidP="001C5591">
      <w:pPr>
        <w:numPr>
          <w:ilvl w:val="1"/>
          <w:numId w:val="12"/>
        </w:numPr>
        <w:ind w:left="709" w:hanging="709"/>
        <w:jc w:val="both"/>
        <w:rPr>
          <w:rFonts w:cs="Arial"/>
        </w:rPr>
      </w:pPr>
      <w:r w:rsidRPr="006144EB">
        <w:rPr>
          <w:rFonts w:cs="Arial"/>
        </w:rPr>
        <w:t>All Lecturers who have been on the threshold pay point for at least two years (at 1</w:t>
      </w:r>
      <w:r>
        <w:rPr>
          <w:rFonts w:cs="Arial"/>
        </w:rPr>
        <w:t> </w:t>
      </w:r>
      <w:r w:rsidRPr="006144EB">
        <w:rPr>
          <w:rFonts w:cs="Arial"/>
        </w:rPr>
        <w:t>September 20</w:t>
      </w:r>
      <w:r w:rsidR="004A4793">
        <w:rPr>
          <w:rFonts w:cs="Arial"/>
        </w:rPr>
        <w:t>2</w:t>
      </w:r>
      <w:r w:rsidR="002F68E8">
        <w:rPr>
          <w:rFonts w:cs="Arial"/>
        </w:rPr>
        <w:t>2</w:t>
      </w:r>
      <w:r w:rsidRPr="006144EB">
        <w:rPr>
          <w:rFonts w:cs="Arial"/>
        </w:rPr>
        <w:t xml:space="preserve">) `will receive a further award </w:t>
      </w:r>
      <w:r w:rsidRPr="00A86F0B">
        <w:rPr>
          <w:rFonts w:cs="Arial"/>
        </w:rPr>
        <w:t>of £1,</w:t>
      </w:r>
      <w:r w:rsidR="004A4793">
        <w:rPr>
          <w:rFonts w:cs="Arial"/>
        </w:rPr>
        <w:t>4</w:t>
      </w:r>
      <w:r w:rsidR="002F68E8">
        <w:rPr>
          <w:rFonts w:cs="Arial"/>
        </w:rPr>
        <w:t>72</w:t>
      </w:r>
      <w:r w:rsidRPr="00A86F0B">
        <w:rPr>
          <w:rFonts w:cs="Arial"/>
        </w:rPr>
        <w:t xml:space="preserve"> from</w:t>
      </w:r>
      <w:r w:rsidRPr="006144EB">
        <w:rPr>
          <w:rFonts w:cs="Arial"/>
        </w:rPr>
        <w:t xml:space="preserve"> 1 September 20</w:t>
      </w:r>
      <w:r w:rsidR="004A4793">
        <w:rPr>
          <w:rFonts w:cs="Arial"/>
        </w:rPr>
        <w:t>2</w:t>
      </w:r>
      <w:r w:rsidR="002F68E8">
        <w:rPr>
          <w:rFonts w:cs="Arial"/>
        </w:rPr>
        <w:t>2</w:t>
      </w:r>
      <w:r w:rsidRPr="006144EB">
        <w:rPr>
          <w:rFonts w:cs="Arial"/>
        </w:rPr>
        <w:t>.  This award will be consolidated and pensionable.</w:t>
      </w:r>
    </w:p>
    <w:p w14:paraId="19648578" w14:textId="56AD1C4C" w:rsidR="001C5591" w:rsidRDefault="001C5591" w:rsidP="001C5591">
      <w:pPr>
        <w:numPr>
          <w:ilvl w:val="1"/>
          <w:numId w:val="12"/>
        </w:numPr>
        <w:spacing w:before="120"/>
        <w:ind w:left="709" w:hanging="709"/>
        <w:jc w:val="both"/>
        <w:rPr>
          <w:rFonts w:cs="Arial"/>
        </w:rPr>
      </w:pPr>
      <w:r w:rsidRPr="006144EB">
        <w:rPr>
          <w:rFonts w:cs="Arial"/>
        </w:rPr>
        <w:t>All Lecturers who move on to the threshold point (at 1 September 20</w:t>
      </w:r>
      <w:r w:rsidR="004A4793">
        <w:rPr>
          <w:rFonts w:cs="Arial"/>
        </w:rPr>
        <w:t>2</w:t>
      </w:r>
      <w:r w:rsidR="002F68E8">
        <w:rPr>
          <w:rFonts w:cs="Arial"/>
        </w:rPr>
        <w:t>2</w:t>
      </w:r>
      <w:r w:rsidRPr="006144EB">
        <w:rPr>
          <w:rFonts w:cs="Arial"/>
        </w:rPr>
        <w:t xml:space="preserve">) will receive a further award </w:t>
      </w:r>
      <w:r w:rsidRPr="00A86F0B">
        <w:rPr>
          <w:rFonts w:cs="Arial"/>
        </w:rPr>
        <w:t xml:space="preserve">of </w:t>
      </w:r>
      <w:r w:rsidRPr="00093541">
        <w:rPr>
          <w:rFonts w:cs="Arial"/>
        </w:rPr>
        <w:t>£</w:t>
      </w:r>
      <w:r w:rsidR="00093541" w:rsidRPr="00093541">
        <w:rPr>
          <w:rFonts w:cs="Arial"/>
        </w:rPr>
        <w:t>1</w:t>
      </w:r>
      <w:r w:rsidR="00573882" w:rsidRPr="00093541">
        <w:rPr>
          <w:rFonts w:cs="Arial"/>
        </w:rPr>
        <w:t>,</w:t>
      </w:r>
      <w:r w:rsidR="004A4793">
        <w:rPr>
          <w:rFonts w:cs="Arial"/>
        </w:rPr>
        <w:t>4</w:t>
      </w:r>
      <w:r w:rsidR="002F68E8">
        <w:rPr>
          <w:rFonts w:cs="Arial"/>
        </w:rPr>
        <w:t>72</w:t>
      </w:r>
      <w:r w:rsidRPr="00A86F0B">
        <w:rPr>
          <w:rFonts w:cs="Arial"/>
        </w:rPr>
        <w:t xml:space="preserve"> (or t</w:t>
      </w:r>
      <w:r w:rsidRPr="006144EB">
        <w:rPr>
          <w:rFonts w:cs="Arial"/>
        </w:rPr>
        <w:t xml:space="preserve">he relevant figure at that point in time), on completion of two years’ service </w:t>
      </w:r>
      <w:r>
        <w:rPr>
          <w:rFonts w:cs="Arial"/>
        </w:rPr>
        <w:t>on the threshold pay point.</w:t>
      </w:r>
    </w:p>
    <w:p w14:paraId="4061065D" w14:textId="77777777" w:rsidR="001C5591" w:rsidRPr="006144EB" w:rsidRDefault="001C5591" w:rsidP="001C5591">
      <w:pPr>
        <w:spacing w:before="120"/>
        <w:ind w:left="709"/>
        <w:jc w:val="both"/>
        <w:rPr>
          <w:rFonts w:cs="Arial"/>
        </w:rPr>
      </w:pPr>
    </w:p>
    <w:p w14:paraId="653DF958" w14:textId="77777777" w:rsidR="007D7B7F" w:rsidRDefault="007D7B7F" w:rsidP="007D7B7F">
      <w:pPr>
        <w:ind w:left="720" w:hanging="720"/>
        <w:jc w:val="both"/>
      </w:pPr>
    </w:p>
    <w:p w14:paraId="1593A3D3" w14:textId="77777777" w:rsidR="007C72EE" w:rsidRPr="00D22D29" w:rsidRDefault="007C72EE" w:rsidP="006144EB">
      <w:pPr>
        <w:numPr>
          <w:ilvl w:val="0"/>
          <w:numId w:val="12"/>
        </w:numPr>
        <w:jc w:val="both"/>
        <w:rPr>
          <w:b/>
        </w:rPr>
      </w:pPr>
      <w:r w:rsidRPr="00D22D29">
        <w:rPr>
          <w:b/>
        </w:rPr>
        <w:t>Responsibility Allowances</w:t>
      </w:r>
    </w:p>
    <w:p w14:paraId="5C009CFC" w14:textId="77777777" w:rsidR="007C72EE" w:rsidRDefault="007C72EE" w:rsidP="007C72EE">
      <w:pPr>
        <w:jc w:val="both"/>
      </w:pPr>
    </w:p>
    <w:p w14:paraId="1E934664" w14:textId="19DEF2DB" w:rsidR="007C72EE" w:rsidRDefault="006144EB" w:rsidP="007C72EE">
      <w:pPr>
        <w:ind w:left="720" w:hanging="720"/>
        <w:jc w:val="both"/>
        <w:rPr>
          <w:rFonts w:cs="Arial"/>
        </w:rPr>
      </w:pPr>
      <w:r>
        <w:t>7.1</w:t>
      </w:r>
      <w:r>
        <w:tab/>
      </w:r>
      <w:r w:rsidR="00852214" w:rsidRPr="00852214">
        <w:t xml:space="preserve">Under the Deane Agreement, it was agreed that a system of responsibility allowances could be introduced on a college by college basis, concurrent with the phasing out of the Senior Lecturer grade. Allowances are permanent or flexible.  The permanent allowances are pensionable and consolidated whilst the flexible </w:t>
      </w:r>
      <w:r w:rsidR="00852214" w:rsidRPr="00812273">
        <w:t>allowances are non-consolidated.  One responsibility allowance will be valued at £1,</w:t>
      </w:r>
      <w:r w:rsidR="00E360B9">
        <w:t>746</w:t>
      </w:r>
      <w:r w:rsidR="005834D6">
        <w:t xml:space="preserve"> from 01 September 20</w:t>
      </w:r>
      <w:r w:rsidR="00E360B9">
        <w:t xml:space="preserve">21 </w:t>
      </w:r>
      <w:r w:rsidR="005834D6">
        <w:t>and £1</w:t>
      </w:r>
      <w:r w:rsidR="00093541">
        <w:t>,</w:t>
      </w:r>
      <w:r w:rsidR="00646E9B">
        <w:t>7</w:t>
      </w:r>
      <w:r w:rsidR="00E360B9">
        <w:t>63</w:t>
      </w:r>
      <w:r w:rsidR="005834D6">
        <w:t xml:space="preserve"> from 01 September 20</w:t>
      </w:r>
      <w:r w:rsidR="00646E9B">
        <w:t>2</w:t>
      </w:r>
      <w:r w:rsidR="00E360B9">
        <w:t>2</w:t>
      </w:r>
      <w:r w:rsidR="00316FCB" w:rsidRPr="00812273">
        <w:rPr>
          <w:rFonts w:cs="Arial"/>
        </w:rPr>
        <w:t>.</w:t>
      </w:r>
    </w:p>
    <w:p w14:paraId="130031D0" w14:textId="77777777" w:rsidR="001C5591" w:rsidRDefault="001C5591" w:rsidP="007C72EE">
      <w:pPr>
        <w:ind w:left="720" w:hanging="720"/>
        <w:jc w:val="both"/>
        <w:rPr>
          <w:rFonts w:cs="Arial"/>
        </w:rPr>
      </w:pPr>
    </w:p>
    <w:p w14:paraId="0983B6FB" w14:textId="77777777" w:rsidR="001C5591" w:rsidRPr="00852214" w:rsidRDefault="001C5591" w:rsidP="001C5591">
      <w:pPr>
        <w:numPr>
          <w:ilvl w:val="0"/>
          <w:numId w:val="12"/>
        </w:numPr>
        <w:rPr>
          <w:b/>
        </w:rPr>
      </w:pPr>
      <w:r w:rsidRPr="00852214">
        <w:rPr>
          <w:b/>
        </w:rPr>
        <w:t>Re-organisation Allowance</w:t>
      </w:r>
    </w:p>
    <w:p w14:paraId="1D0F7A6D" w14:textId="77777777" w:rsidR="001C5591" w:rsidRPr="00852214" w:rsidRDefault="001C5591" w:rsidP="001C5591"/>
    <w:p w14:paraId="75D866C2" w14:textId="6ECC03B5" w:rsidR="001C5591" w:rsidRPr="00812273" w:rsidRDefault="001C5591" w:rsidP="001C5591">
      <w:pPr>
        <w:ind w:left="709" w:hanging="709"/>
      </w:pPr>
      <w:r w:rsidRPr="00852214">
        <w:t>8.1</w:t>
      </w:r>
      <w:r w:rsidRPr="00852214">
        <w:tab/>
        <w:t xml:space="preserve">Where a lecturer in a further education college is in receipt of a reorganisation allowance in accordance with the provisions of Department of Education Circular 1996/1, the value of that allowance should be uplifted </w:t>
      </w:r>
      <w:r w:rsidRPr="00812273">
        <w:t xml:space="preserve">by </w:t>
      </w:r>
      <w:r w:rsidR="00E360B9">
        <w:t>1</w:t>
      </w:r>
      <w:r w:rsidR="00646E9B">
        <w:t>.0</w:t>
      </w:r>
      <w:r w:rsidRPr="00812273">
        <w:t>%</w:t>
      </w:r>
      <w:r w:rsidR="005059C0">
        <w:t xml:space="preserve"> from 01 September 20</w:t>
      </w:r>
      <w:r w:rsidR="00E360B9">
        <w:t>21</w:t>
      </w:r>
      <w:r w:rsidR="005059C0">
        <w:t xml:space="preserve"> and </w:t>
      </w:r>
      <w:r w:rsidR="00E360B9">
        <w:t>1</w:t>
      </w:r>
      <w:r w:rsidR="00646E9B">
        <w:t>.0</w:t>
      </w:r>
      <w:r w:rsidR="005059C0">
        <w:t>% from 01 September 20</w:t>
      </w:r>
      <w:r w:rsidR="00646E9B">
        <w:t>2</w:t>
      </w:r>
      <w:r w:rsidR="00E360B9">
        <w:t>2</w:t>
      </w:r>
      <w:r w:rsidR="005059C0">
        <w:t>.</w:t>
      </w:r>
    </w:p>
    <w:p w14:paraId="09EB2567" w14:textId="77777777" w:rsidR="00AA20FB" w:rsidRPr="00AA20FB" w:rsidRDefault="00AA20FB" w:rsidP="005059C0"/>
    <w:sectPr w:rsidR="00AA20FB" w:rsidRPr="00AA20FB" w:rsidSect="001C47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993" w:right="1247" w:bottom="993" w:left="1247" w:header="720" w:footer="30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B2659" w14:textId="77777777" w:rsidR="00F84998" w:rsidRDefault="00F84998">
      <w:r>
        <w:separator/>
      </w:r>
    </w:p>
  </w:endnote>
  <w:endnote w:type="continuationSeparator" w:id="0">
    <w:p w14:paraId="24AEDC34" w14:textId="77777777" w:rsidR="00F84998" w:rsidRDefault="00F84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C00CC" w14:textId="77777777" w:rsidR="001104DF" w:rsidRDefault="001104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075518" w14:textId="77777777" w:rsidR="001104DF" w:rsidRDefault="001104D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38D04" w14:textId="77777777" w:rsidR="001104DF" w:rsidRDefault="001104D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73882">
      <w:rPr>
        <w:noProof/>
      </w:rPr>
      <w:t>6</w:t>
    </w:r>
    <w:r>
      <w:rPr>
        <w:noProof/>
      </w:rPr>
      <w:fldChar w:fldCharType="end"/>
    </w:r>
  </w:p>
  <w:p w14:paraId="4D05A181" w14:textId="77777777" w:rsidR="001104DF" w:rsidRDefault="001104DF">
    <w:pPr>
      <w:pStyle w:val="Footer"/>
      <w:pBdr>
        <w:top w:val="single" w:sz="4" w:space="1" w:color="auto"/>
      </w:pBdr>
      <w:ind w:right="360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CBEF1" w14:textId="77777777" w:rsidR="00350A39" w:rsidRDefault="00350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3DD9" w14:textId="77777777" w:rsidR="00F84998" w:rsidRDefault="00F84998">
      <w:r>
        <w:separator/>
      </w:r>
    </w:p>
  </w:footnote>
  <w:footnote w:type="continuationSeparator" w:id="0">
    <w:p w14:paraId="7F38320B" w14:textId="77777777" w:rsidR="00F84998" w:rsidRDefault="00F84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D8CD" w14:textId="14C0E897" w:rsidR="00350A39" w:rsidRDefault="00350A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3BA3C" w14:textId="47A79B35" w:rsidR="001104DF" w:rsidRDefault="001104DF" w:rsidP="00603C21">
    <w:pPr>
      <w:pStyle w:val="Header"/>
    </w:pPr>
  </w:p>
  <w:p w14:paraId="710C8655" w14:textId="77777777" w:rsidR="001104DF" w:rsidRDefault="001104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E4C86" w14:textId="3652778B" w:rsidR="00350A39" w:rsidRDefault="00350A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B1B11"/>
    <w:multiLevelType w:val="hybridMultilevel"/>
    <w:tmpl w:val="3BC2E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B50D6"/>
    <w:multiLevelType w:val="singleLevel"/>
    <w:tmpl w:val="CADAA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0BF26559"/>
    <w:multiLevelType w:val="multilevel"/>
    <w:tmpl w:val="AAE0FF56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8911D09"/>
    <w:multiLevelType w:val="multilevel"/>
    <w:tmpl w:val="AAE0FF56"/>
    <w:lvl w:ilvl="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91C75A8"/>
    <w:multiLevelType w:val="hybridMultilevel"/>
    <w:tmpl w:val="D49051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DC0E92B8">
      <w:start w:val="1"/>
      <w:numFmt w:val="lowerLetter"/>
      <w:lvlText w:val="(%2)"/>
      <w:lvlJc w:val="left"/>
      <w:pPr>
        <w:ind w:left="1485" w:hanging="405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7026A"/>
    <w:multiLevelType w:val="multilevel"/>
    <w:tmpl w:val="CB68D974"/>
    <w:lvl w:ilvl="0">
      <w:start w:val="6"/>
      <w:numFmt w:val="decimal"/>
      <w:lvlText w:val="%1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cs="Arial" w:hint="default"/>
      </w:rPr>
    </w:lvl>
  </w:abstractNum>
  <w:abstractNum w:abstractNumId="6" w15:restartNumberingAfterBreak="0">
    <w:nsid w:val="337304AC"/>
    <w:multiLevelType w:val="hybridMultilevel"/>
    <w:tmpl w:val="EFC043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7327A9"/>
    <w:multiLevelType w:val="multilevel"/>
    <w:tmpl w:val="5D6A3D8C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8" w15:restartNumberingAfterBreak="0">
    <w:nsid w:val="4C214074"/>
    <w:multiLevelType w:val="hybridMultilevel"/>
    <w:tmpl w:val="B924535E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13D6076"/>
    <w:multiLevelType w:val="multilevel"/>
    <w:tmpl w:val="A67A33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E24223B"/>
    <w:multiLevelType w:val="hybridMultilevel"/>
    <w:tmpl w:val="D9B224B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641340"/>
    <w:multiLevelType w:val="multilevel"/>
    <w:tmpl w:val="F8CC2F34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Arial" w:hint="default"/>
      </w:rPr>
    </w:lvl>
  </w:abstractNum>
  <w:abstractNum w:abstractNumId="12" w15:restartNumberingAfterBreak="0">
    <w:nsid w:val="7D324701"/>
    <w:multiLevelType w:val="hybridMultilevel"/>
    <w:tmpl w:val="66CE4B92"/>
    <w:lvl w:ilvl="0" w:tplc="24C87EF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A939DB"/>
    <w:multiLevelType w:val="hybridMultilevel"/>
    <w:tmpl w:val="2CE6E588"/>
    <w:lvl w:ilvl="0" w:tplc="24C87EF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2611977">
    <w:abstractNumId w:val="1"/>
  </w:num>
  <w:num w:numId="2" w16cid:durableId="667753449">
    <w:abstractNumId w:val="8"/>
  </w:num>
  <w:num w:numId="3" w16cid:durableId="1384408213">
    <w:abstractNumId w:val="12"/>
  </w:num>
  <w:num w:numId="4" w16cid:durableId="2013332658">
    <w:abstractNumId w:val="13"/>
  </w:num>
  <w:num w:numId="5" w16cid:durableId="1533956858">
    <w:abstractNumId w:val="4"/>
  </w:num>
  <w:num w:numId="6" w16cid:durableId="1874489180">
    <w:abstractNumId w:val="3"/>
  </w:num>
  <w:num w:numId="7" w16cid:durableId="645473232">
    <w:abstractNumId w:val="2"/>
  </w:num>
  <w:num w:numId="8" w16cid:durableId="2094467864">
    <w:abstractNumId w:val="11"/>
  </w:num>
  <w:num w:numId="9" w16cid:durableId="2039889865">
    <w:abstractNumId w:val="7"/>
  </w:num>
  <w:num w:numId="10" w16cid:durableId="542592720">
    <w:abstractNumId w:val="10"/>
  </w:num>
  <w:num w:numId="11" w16cid:durableId="2015838840">
    <w:abstractNumId w:val="5"/>
  </w:num>
  <w:num w:numId="12" w16cid:durableId="584605868">
    <w:abstractNumId w:val="9"/>
  </w:num>
  <w:num w:numId="13" w16cid:durableId="1130048675">
    <w:abstractNumId w:val="6"/>
  </w:num>
  <w:num w:numId="14" w16cid:durableId="10342300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17634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5"/>
  <w:drawingGridVerticalSpacing w:val="233"/>
  <w:displayHorizont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C70"/>
    <w:rsid w:val="00000228"/>
    <w:rsid w:val="00001112"/>
    <w:rsid w:val="0000403C"/>
    <w:rsid w:val="000140A1"/>
    <w:rsid w:val="000170D3"/>
    <w:rsid w:val="0001749F"/>
    <w:rsid w:val="000247C0"/>
    <w:rsid w:val="00030FD7"/>
    <w:rsid w:val="00034F56"/>
    <w:rsid w:val="0005043B"/>
    <w:rsid w:val="00054355"/>
    <w:rsid w:val="000558D5"/>
    <w:rsid w:val="00061C6F"/>
    <w:rsid w:val="000666FD"/>
    <w:rsid w:val="00072B35"/>
    <w:rsid w:val="00080FB9"/>
    <w:rsid w:val="000825B9"/>
    <w:rsid w:val="0008536A"/>
    <w:rsid w:val="00086BD6"/>
    <w:rsid w:val="00093541"/>
    <w:rsid w:val="000A1124"/>
    <w:rsid w:val="000C050E"/>
    <w:rsid w:val="000C1845"/>
    <w:rsid w:val="000C6EAB"/>
    <w:rsid w:val="000D251C"/>
    <w:rsid w:val="000D35C4"/>
    <w:rsid w:val="000D692F"/>
    <w:rsid w:val="000D70CA"/>
    <w:rsid w:val="000E1222"/>
    <w:rsid w:val="000E4F93"/>
    <w:rsid w:val="000E7EEC"/>
    <w:rsid w:val="000F0C9C"/>
    <w:rsid w:val="000F1129"/>
    <w:rsid w:val="0010023A"/>
    <w:rsid w:val="0010176C"/>
    <w:rsid w:val="00101830"/>
    <w:rsid w:val="001019F7"/>
    <w:rsid w:val="00103D21"/>
    <w:rsid w:val="00107F31"/>
    <w:rsid w:val="001104DF"/>
    <w:rsid w:val="001114CB"/>
    <w:rsid w:val="00116A9F"/>
    <w:rsid w:val="00117406"/>
    <w:rsid w:val="00150F1C"/>
    <w:rsid w:val="00153186"/>
    <w:rsid w:val="00166296"/>
    <w:rsid w:val="00166A5A"/>
    <w:rsid w:val="00196407"/>
    <w:rsid w:val="001A2B69"/>
    <w:rsid w:val="001B36D6"/>
    <w:rsid w:val="001B4C08"/>
    <w:rsid w:val="001C0E80"/>
    <w:rsid w:val="001C3D5E"/>
    <w:rsid w:val="001C477E"/>
    <w:rsid w:val="001C5591"/>
    <w:rsid w:val="001C7217"/>
    <w:rsid w:val="001D2E72"/>
    <w:rsid w:val="001D3B73"/>
    <w:rsid w:val="001F346F"/>
    <w:rsid w:val="0020537E"/>
    <w:rsid w:val="0022486B"/>
    <w:rsid w:val="00224B56"/>
    <w:rsid w:val="00244ACC"/>
    <w:rsid w:val="002477B6"/>
    <w:rsid w:val="00250F2A"/>
    <w:rsid w:val="0025226B"/>
    <w:rsid w:val="00252613"/>
    <w:rsid w:val="002544CA"/>
    <w:rsid w:val="00264559"/>
    <w:rsid w:val="00266575"/>
    <w:rsid w:val="002718A9"/>
    <w:rsid w:val="00274B0D"/>
    <w:rsid w:val="00283494"/>
    <w:rsid w:val="00287AAD"/>
    <w:rsid w:val="00290675"/>
    <w:rsid w:val="00294A29"/>
    <w:rsid w:val="00294D73"/>
    <w:rsid w:val="002966AE"/>
    <w:rsid w:val="002A02CA"/>
    <w:rsid w:val="002A0BA8"/>
    <w:rsid w:val="002A1224"/>
    <w:rsid w:val="002B180F"/>
    <w:rsid w:val="002B78C1"/>
    <w:rsid w:val="002C1E74"/>
    <w:rsid w:val="002C5DE1"/>
    <w:rsid w:val="002D2010"/>
    <w:rsid w:val="002E0104"/>
    <w:rsid w:val="002E3E47"/>
    <w:rsid w:val="002E7B13"/>
    <w:rsid w:val="002F2EA4"/>
    <w:rsid w:val="002F48D1"/>
    <w:rsid w:val="002F58F3"/>
    <w:rsid w:val="002F5995"/>
    <w:rsid w:val="002F68E8"/>
    <w:rsid w:val="00304FA6"/>
    <w:rsid w:val="00316FCB"/>
    <w:rsid w:val="00317447"/>
    <w:rsid w:val="00321251"/>
    <w:rsid w:val="0032207B"/>
    <w:rsid w:val="003236DC"/>
    <w:rsid w:val="00327B61"/>
    <w:rsid w:val="00331C2D"/>
    <w:rsid w:val="00334485"/>
    <w:rsid w:val="00337472"/>
    <w:rsid w:val="00342CF3"/>
    <w:rsid w:val="0034413C"/>
    <w:rsid w:val="00344F03"/>
    <w:rsid w:val="003478BC"/>
    <w:rsid w:val="00347EBD"/>
    <w:rsid w:val="003503B1"/>
    <w:rsid w:val="00350958"/>
    <w:rsid w:val="00350A39"/>
    <w:rsid w:val="00353F9A"/>
    <w:rsid w:val="00354A86"/>
    <w:rsid w:val="00354ABB"/>
    <w:rsid w:val="0035695E"/>
    <w:rsid w:val="0035771F"/>
    <w:rsid w:val="00364BB4"/>
    <w:rsid w:val="00382696"/>
    <w:rsid w:val="00385EB1"/>
    <w:rsid w:val="0038605E"/>
    <w:rsid w:val="0039506A"/>
    <w:rsid w:val="003A012C"/>
    <w:rsid w:val="003A0A9B"/>
    <w:rsid w:val="003A7D24"/>
    <w:rsid w:val="003B0404"/>
    <w:rsid w:val="003B4E26"/>
    <w:rsid w:val="003B7D1A"/>
    <w:rsid w:val="003C1FC4"/>
    <w:rsid w:val="003D0CD6"/>
    <w:rsid w:val="003D4924"/>
    <w:rsid w:val="003E000B"/>
    <w:rsid w:val="003F0320"/>
    <w:rsid w:val="003F6B8B"/>
    <w:rsid w:val="00400184"/>
    <w:rsid w:val="00403301"/>
    <w:rsid w:val="00403AF3"/>
    <w:rsid w:val="004241FA"/>
    <w:rsid w:val="00433149"/>
    <w:rsid w:val="00436562"/>
    <w:rsid w:val="00440176"/>
    <w:rsid w:val="00441A7A"/>
    <w:rsid w:val="00450EAB"/>
    <w:rsid w:val="00455447"/>
    <w:rsid w:val="00455E3D"/>
    <w:rsid w:val="00457810"/>
    <w:rsid w:val="004611E5"/>
    <w:rsid w:val="0046158B"/>
    <w:rsid w:val="00462A56"/>
    <w:rsid w:val="004630C6"/>
    <w:rsid w:val="00470261"/>
    <w:rsid w:val="00472018"/>
    <w:rsid w:val="00474EE6"/>
    <w:rsid w:val="00476A01"/>
    <w:rsid w:val="004851E1"/>
    <w:rsid w:val="004936FF"/>
    <w:rsid w:val="00493ACC"/>
    <w:rsid w:val="00496220"/>
    <w:rsid w:val="004A30E7"/>
    <w:rsid w:val="004A4793"/>
    <w:rsid w:val="004A4CBD"/>
    <w:rsid w:val="004A5D54"/>
    <w:rsid w:val="004A7178"/>
    <w:rsid w:val="004B16B2"/>
    <w:rsid w:val="004B4BED"/>
    <w:rsid w:val="004B68AE"/>
    <w:rsid w:val="004C0A4A"/>
    <w:rsid w:val="004C1211"/>
    <w:rsid w:val="004C2871"/>
    <w:rsid w:val="004C5D77"/>
    <w:rsid w:val="004D082D"/>
    <w:rsid w:val="004F26BB"/>
    <w:rsid w:val="004F58FF"/>
    <w:rsid w:val="004F77EB"/>
    <w:rsid w:val="00500E48"/>
    <w:rsid w:val="005059C0"/>
    <w:rsid w:val="0051022F"/>
    <w:rsid w:val="005124E1"/>
    <w:rsid w:val="005140F5"/>
    <w:rsid w:val="005150E3"/>
    <w:rsid w:val="0051698B"/>
    <w:rsid w:val="00520612"/>
    <w:rsid w:val="005228B3"/>
    <w:rsid w:val="005258CE"/>
    <w:rsid w:val="00531F03"/>
    <w:rsid w:val="0053394A"/>
    <w:rsid w:val="0053615C"/>
    <w:rsid w:val="0055584F"/>
    <w:rsid w:val="0056003A"/>
    <w:rsid w:val="00564D40"/>
    <w:rsid w:val="00564FDB"/>
    <w:rsid w:val="005729B8"/>
    <w:rsid w:val="00573882"/>
    <w:rsid w:val="00576719"/>
    <w:rsid w:val="005834D6"/>
    <w:rsid w:val="00587FD9"/>
    <w:rsid w:val="00592470"/>
    <w:rsid w:val="0059291C"/>
    <w:rsid w:val="005977BA"/>
    <w:rsid w:val="005A52D5"/>
    <w:rsid w:val="005B2C8A"/>
    <w:rsid w:val="005B2FA3"/>
    <w:rsid w:val="005B3CDC"/>
    <w:rsid w:val="005C4B80"/>
    <w:rsid w:val="005D34FC"/>
    <w:rsid w:val="005D500D"/>
    <w:rsid w:val="005D68B1"/>
    <w:rsid w:val="005E07E8"/>
    <w:rsid w:val="005E178F"/>
    <w:rsid w:val="005E3262"/>
    <w:rsid w:val="005F715B"/>
    <w:rsid w:val="005F7A5A"/>
    <w:rsid w:val="00601EBA"/>
    <w:rsid w:val="00603C21"/>
    <w:rsid w:val="00611832"/>
    <w:rsid w:val="00614060"/>
    <w:rsid w:val="006144EB"/>
    <w:rsid w:val="00614753"/>
    <w:rsid w:val="006238B9"/>
    <w:rsid w:val="00623BA5"/>
    <w:rsid w:val="00630A69"/>
    <w:rsid w:val="00632233"/>
    <w:rsid w:val="00646E9B"/>
    <w:rsid w:val="00653E05"/>
    <w:rsid w:val="0066055B"/>
    <w:rsid w:val="00664808"/>
    <w:rsid w:val="006746E4"/>
    <w:rsid w:val="00693208"/>
    <w:rsid w:val="006A70AA"/>
    <w:rsid w:val="006B328D"/>
    <w:rsid w:val="006C2EA4"/>
    <w:rsid w:val="006C377F"/>
    <w:rsid w:val="006D2BB9"/>
    <w:rsid w:val="006D62B4"/>
    <w:rsid w:val="006E106C"/>
    <w:rsid w:val="00730350"/>
    <w:rsid w:val="007374EB"/>
    <w:rsid w:val="00756591"/>
    <w:rsid w:val="00765E76"/>
    <w:rsid w:val="007670D5"/>
    <w:rsid w:val="00767A6F"/>
    <w:rsid w:val="0078254B"/>
    <w:rsid w:val="007843C1"/>
    <w:rsid w:val="00785245"/>
    <w:rsid w:val="00786A40"/>
    <w:rsid w:val="00786EC7"/>
    <w:rsid w:val="0079002B"/>
    <w:rsid w:val="007A03D2"/>
    <w:rsid w:val="007C72EE"/>
    <w:rsid w:val="007D20E6"/>
    <w:rsid w:val="007D2E09"/>
    <w:rsid w:val="007D7593"/>
    <w:rsid w:val="007D7B7F"/>
    <w:rsid w:val="007E1E2A"/>
    <w:rsid w:val="007E4A61"/>
    <w:rsid w:val="00804906"/>
    <w:rsid w:val="00812273"/>
    <w:rsid w:val="00822716"/>
    <w:rsid w:val="00830019"/>
    <w:rsid w:val="00832B21"/>
    <w:rsid w:val="00832C99"/>
    <w:rsid w:val="0083712B"/>
    <w:rsid w:val="00843F49"/>
    <w:rsid w:val="00852214"/>
    <w:rsid w:val="00855147"/>
    <w:rsid w:val="00864C68"/>
    <w:rsid w:val="008658F9"/>
    <w:rsid w:val="00867673"/>
    <w:rsid w:val="0087042B"/>
    <w:rsid w:val="00873401"/>
    <w:rsid w:val="008777BB"/>
    <w:rsid w:val="008818B9"/>
    <w:rsid w:val="00882A9F"/>
    <w:rsid w:val="00884E61"/>
    <w:rsid w:val="008859D3"/>
    <w:rsid w:val="00886669"/>
    <w:rsid w:val="00892EFF"/>
    <w:rsid w:val="00894FD2"/>
    <w:rsid w:val="0089658A"/>
    <w:rsid w:val="008A2AEB"/>
    <w:rsid w:val="008A7F12"/>
    <w:rsid w:val="008B5DE5"/>
    <w:rsid w:val="008B7C35"/>
    <w:rsid w:val="008C642D"/>
    <w:rsid w:val="008D633A"/>
    <w:rsid w:val="008E1F32"/>
    <w:rsid w:val="008E5869"/>
    <w:rsid w:val="008F39DB"/>
    <w:rsid w:val="008F7052"/>
    <w:rsid w:val="008F76F7"/>
    <w:rsid w:val="009217C1"/>
    <w:rsid w:val="0093278A"/>
    <w:rsid w:val="00934F63"/>
    <w:rsid w:val="00935BD5"/>
    <w:rsid w:val="00941F1D"/>
    <w:rsid w:val="00952418"/>
    <w:rsid w:val="0095665C"/>
    <w:rsid w:val="00960215"/>
    <w:rsid w:val="00963CFB"/>
    <w:rsid w:val="00977B5F"/>
    <w:rsid w:val="00986412"/>
    <w:rsid w:val="00994E1E"/>
    <w:rsid w:val="00997271"/>
    <w:rsid w:val="009B00A6"/>
    <w:rsid w:val="009B1D27"/>
    <w:rsid w:val="009C0459"/>
    <w:rsid w:val="009C4DAD"/>
    <w:rsid w:val="009D0559"/>
    <w:rsid w:val="009D3E9A"/>
    <w:rsid w:val="009E2829"/>
    <w:rsid w:val="009F47A8"/>
    <w:rsid w:val="009F75FE"/>
    <w:rsid w:val="00A0212A"/>
    <w:rsid w:val="00A043E4"/>
    <w:rsid w:val="00A1344B"/>
    <w:rsid w:val="00A225A9"/>
    <w:rsid w:val="00A27DA7"/>
    <w:rsid w:val="00A35E47"/>
    <w:rsid w:val="00A37C8A"/>
    <w:rsid w:val="00A61E21"/>
    <w:rsid w:val="00A62AAB"/>
    <w:rsid w:val="00A67F82"/>
    <w:rsid w:val="00A7568C"/>
    <w:rsid w:val="00A7614E"/>
    <w:rsid w:val="00A86F0B"/>
    <w:rsid w:val="00A91171"/>
    <w:rsid w:val="00A94103"/>
    <w:rsid w:val="00AA20FB"/>
    <w:rsid w:val="00AA37F7"/>
    <w:rsid w:val="00AB1F28"/>
    <w:rsid w:val="00AB39B2"/>
    <w:rsid w:val="00AC00B0"/>
    <w:rsid w:val="00AD4E42"/>
    <w:rsid w:val="00AE33AD"/>
    <w:rsid w:val="00AE3BE7"/>
    <w:rsid w:val="00AE5C95"/>
    <w:rsid w:val="00AE7789"/>
    <w:rsid w:val="00AF63A1"/>
    <w:rsid w:val="00B0483C"/>
    <w:rsid w:val="00B0652A"/>
    <w:rsid w:val="00B10A3B"/>
    <w:rsid w:val="00B23A31"/>
    <w:rsid w:val="00B25FA8"/>
    <w:rsid w:val="00B3483F"/>
    <w:rsid w:val="00B35D2E"/>
    <w:rsid w:val="00B36AD5"/>
    <w:rsid w:val="00B3753F"/>
    <w:rsid w:val="00B40C61"/>
    <w:rsid w:val="00B42656"/>
    <w:rsid w:val="00B5720C"/>
    <w:rsid w:val="00B67CCC"/>
    <w:rsid w:val="00BA6EB6"/>
    <w:rsid w:val="00BA7CD4"/>
    <w:rsid w:val="00BB438D"/>
    <w:rsid w:val="00BC298E"/>
    <w:rsid w:val="00BC3585"/>
    <w:rsid w:val="00BC6C50"/>
    <w:rsid w:val="00BD54BB"/>
    <w:rsid w:val="00BD6E12"/>
    <w:rsid w:val="00BF57E7"/>
    <w:rsid w:val="00C014E6"/>
    <w:rsid w:val="00C11FB7"/>
    <w:rsid w:val="00C139BA"/>
    <w:rsid w:val="00C278F1"/>
    <w:rsid w:val="00C27D7D"/>
    <w:rsid w:val="00C37FC8"/>
    <w:rsid w:val="00C5234D"/>
    <w:rsid w:val="00C5341D"/>
    <w:rsid w:val="00C54141"/>
    <w:rsid w:val="00C54488"/>
    <w:rsid w:val="00C83B47"/>
    <w:rsid w:val="00CA5564"/>
    <w:rsid w:val="00CB0695"/>
    <w:rsid w:val="00CC5F35"/>
    <w:rsid w:val="00CC7DC6"/>
    <w:rsid w:val="00CD1A25"/>
    <w:rsid w:val="00CD6670"/>
    <w:rsid w:val="00CF7411"/>
    <w:rsid w:val="00D03E36"/>
    <w:rsid w:val="00D17353"/>
    <w:rsid w:val="00D20323"/>
    <w:rsid w:val="00D22D29"/>
    <w:rsid w:val="00D35B3F"/>
    <w:rsid w:val="00D35DCD"/>
    <w:rsid w:val="00D50C70"/>
    <w:rsid w:val="00D51A45"/>
    <w:rsid w:val="00D54E80"/>
    <w:rsid w:val="00D55AF2"/>
    <w:rsid w:val="00D759BD"/>
    <w:rsid w:val="00D77D9B"/>
    <w:rsid w:val="00D8228D"/>
    <w:rsid w:val="00D85567"/>
    <w:rsid w:val="00D94894"/>
    <w:rsid w:val="00D96FAB"/>
    <w:rsid w:val="00DA7D25"/>
    <w:rsid w:val="00DB33DE"/>
    <w:rsid w:val="00DB6BB7"/>
    <w:rsid w:val="00DB70F3"/>
    <w:rsid w:val="00DD5851"/>
    <w:rsid w:val="00DE0765"/>
    <w:rsid w:val="00DF62F5"/>
    <w:rsid w:val="00DF75C9"/>
    <w:rsid w:val="00E03110"/>
    <w:rsid w:val="00E0349E"/>
    <w:rsid w:val="00E03C5B"/>
    <w:rsid w:val="00E246D3"/>
    <w:rsid w:val="00E275A6"/>
    <w:rsid w:val="00E360B9"/>
    <w:rsid w:val="00E37938"/>
    <w:rsid w:val="00E406AE"/>
    <w:rsid w:val="00E45DE0"/>
    <w:rsid w:val="00E46E1E"/>
    <w:rsid w:val="00E52E86"/>
    <w:rsid w:val="00E542F6"/>
    <w:rsid w:val="00E57A39"/>
    <w:rsid w:val="00E62980"/>
    <w:rsid w:val="00E7085E"/>
    <w:rsid w:val="00E70953"/>
    <w:rsid w:val="00E933D9"/>
    <w:rsid w:val="00EB020B"/>
    <w:rsid w:val="00ED4529"/>
    <w:rsid w:val="00F138DA"/>
    <w:rsid w:val="00F2010E"/>
    <w:rsid w:val="00F401DD"/>
    <w:rsid w:val="00F43C9A"/>
    <w:rsid w:val="00F47BD7"/>
    <w:rsid w:val="00F55BF5"/>
    <w:rsid w:val="00F649DC"/>
    <w:rsid w:val="00F65F71"/>
    <w:rsid w:val="00F817A1"/>
    <w:rsid w:val="00F84998"/>
    <w:rsid w:val="00F857A0"/>
    <w:rsid w:val="00F949DE"/>
    <w:rsid w:val="00FA20C9"/>
    <w:rsid w:val="00FA2C81"/>
    <w:rsid w:val="00FA3FFD"/>
    <w:rsid w:val="00FA4D86"/>
    <w:rsid w:val="00FB102F"/>
    <w:rsid w:val="00FB7228"/>
    <w:rsid w:val="00FE4E5A"/>
    <w:rsid w:val="00FF1070"/>
    <w:rsid w:val="00FF2B15"/>
    <w:rsid w:val="00FF5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208F2F"/>
  <w15:chartTrackingRefBased/>
  <w15:docId w15:val="{0239B844-82AA-46D3-A1D2-1C8D34F22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0176"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  <w:szCs w:val="20"/>
    </w:rPr>
  </w:style>
  <w:style w:type="paragraph" w:styleId="Heading2">
    <w:name w:val="heading 2"/>
    <w:basedOn w:val="Normal"/>
    <w:next w:val="Normal"/>
    <w:qFormat/>
    <w:pPr>
      <w:keepNext/>
      <w:ind w:firstLine="720"/>
      <w:outlineLvl w:val="1"/>
    </w:pPr>
    <w:rPr>
      <w:rFonts w:ascii="Times New Roman" w:hAnsi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rFonts w:ascii="Times New Roman" w:hAnsi="Times New Roman"/>
      <w:szCs w:val="20"/>
    </w:rPr>
  </w:style>
  <w:style w:type="paragraph" w:styleId="BodyTextIndent2">
    <w:name w:val="Body Text Indent 2"/>
    <w:basedOn w:val="Normal"/>
    <w:pPr>
      <w:tabs>
        <w:tab w:val="left" w:pos="715"/>
      </w:tabs>
      <w:ind w:left="1435" w:hangingChars="1300" w:hanging="1435"/>
      <w:jc w:val="both"/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Chars="649" w:left="1490" w:hangingChars="701" w:hanging="774"/>
    </w:pPr>
  </w:style>
  <w:style w:type="table" w:styleId="TableGrid">
    <w:name w:val="Table Grid"/>
    <w:basedOn w:val="TableNormal"/>
    <w:rsid w:val="008F70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A20FB"/>
    <w:rPr>
      <w:rFonts w:ascii="Arial" w:hAnsi="Arial"/>
      <w:sz w:val="24"/>
      <w:szCs w:val="24"/>
      <w:lang w:eastAsia="en-US"/>
    </w:rPr>
  </w:style>
  <w:style w:type="paragraph" w:styleId="ListParagraph">
    <w:name w:val="List Paragraph"/>
    <w:aliases w:val="Dot pt,No Spacing1,List Paragraph Char Char Char,Indicator Text,Numbered Para 1,List Paragraph1,Bullet 1,Bullet Points,MAIN CONTENT,Bullet Style,List Paragraph2,OBC Bullet,List Paragraph11,List Paragraph12,F5 List Paragraph"/>
    <w:basedOn w:val="Normal"/>
    <w:link w:val="ListParagraphChar"/>
    <w:uiPriority w:val="34"/>
    <w:qFormat/>
    <w:rsid w:val="0083712B"/>
    <w:pPr>
      <w:ind w:left="720"/>
    </w:pPr>
  </w:style>
  <w:style w:type="paragraph" w:styleId="Revision">
    <w:name w:val="Revision"/>
    <w:hidden/>
    <w:uiPriority w:val="99"/>
    <w:semiHidden/>
    <w:rsid w:val="005E178F"/>
    <w:rPr>
      <w:rFonts w:ascii="Arial" w:hAnsi="Arial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5C4B8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5C4B8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1 Char,Bullet Points Char,MAIN CONTENT Char,Bullet Style Char,List Paragraph2 Char,OBC Bullet Char"/>
    <w:link w:val="ListParagraph"/>
    <w:uiPriority w:val="34"/>
    <w:qFormat/>
    <w:locked/>
    <w:rsid w:val="00592470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2823E-230F-4391-9BD4-DB37B89479A2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5c23df0-9a55-4099-90e0-17b72bfeaed2}" enabled="1" method="Standard" siteId="{54efe58d-72b7-45af-9a01-30ee5f377a7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1340</Words>
  <Characters>7228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COLLEGE EMPLOYERS’ FORUM</vt:lpstr>
    </vt:vector>
  </TitlesOfParts>
  <Company>Microsoft</Company>
  <LinksUpToDate>false</LinksUpToDate>
  <CharactersWithSpaces>8551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COLLEGE EMPLOYERS’ FORUM</dc:title>
  <dc:subject/>
  <dc:creator>Grace Neville</dc:creator>
  <cp:keywords/>
  <cp:lastModifiedBy>Grace Neville (CNI)</cp:lastModifiedBy>
  <cp:revision>2</cp:revision>
  <cp:lastPrinted>2007-11-02T11:06:00Z</cp:lastPrinted>
  <dcterms:created xsi:type="dcterms:W3CDTF">2023-08-08T09:19:00Z</dcterms:created>
  <dcterms:modified xsi:type="dcterms:W3CDTF">2023-08-08T09:19:00Z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5c23df0-9a55-4099-90e0-17b72bfeaed2_Enabled">
    <vt:lpwstr>true</vt:lpwstr>
  </property>
  <property fmtid="{D5CDD505-2E9C-101B-9397-08002B2CF9AE}" pid="3" name="MSIP_Label_65c23df0-9a55-4099-90e0-17b72bfeaed2_SetDate">
    <vt:lpwstr>2022-01-11T18:03:38Z</vt:lpwstr>
  </property>
  <property fmtid="{D5CDD505-2E9C-101B-9397-08002B2CF9AE}" pid="4" name="MSIP_Label_65c23df0-9a55-4099-90e0-17b72bfeaed2_Method">
    <vt:lpwstr>Standard</vt:lpwstr>
  </property>
  <property fmtid="{D5CDD505-2E9C-101B-9397-08002B2CF9AE}" pid="5" name="MSIP_Label_65c23df0-9a55-4099-90e0-17b72bfeaed2_Name">
    <vt:lpwstr>65c23df0-9a55-4099-90e0-17b72bfeaed2</vt:lpwstr>
  </property>
  <property fmtid="{D5CDD505-2E9C-101B-9397-08002B2CF9AE}" pid="6" name="MSIP_Label_65c23df0-9a55-4099-90e0-17b72bfeaed2_SiteId">
    <vt:lpwstr>54efe58d-72b7-45af-9a01-30ee5f377a71</vt:lpwstr>
  </property>
  <property fmtid="{D5CDD505-2E9C-101B-9397-08002B2CF9AE}" pid="7" name="MSIP_Label_65c23df0-9a55-4099-90e0-17b72bfeaed2_ActionId">
    <vt:lpwstr>8ed05808-f92f-4e65-94e6-971215f01c45</vt:lpwstr>
  </property>
  <property fmtid="{D5CDD505-2E9C-101B-9397-08002B2CF9AE}" pid="8" name="MSIP_Label_65c23df0-9a55-4099-90e0-17b72bfeaed2_ContentBits">
    <vt:lpwstr>0</vt:lpwstr>
  </property>
  <property fmtid="{D5CDD505-2E9C-101B-9397-08002B2CF9AE}" pid="9" name="MSIP_Label_922e26b0-dfd3-441a-9785-dc4a47488641_Enabled">
    <vt:lpwstr>true</vt:lpwstr>
  </property>
  <property fmtid="{D5CDD505-2E9C-101B-9397-08002B2CF9AE}" pid="10" name="MSIP_Label_922e26b0-dfd3-441a-9785-dc4a47488641_SetDate">
    <vt:lpwstr>2022-03-08T11:23:10Z</vt:lpwstr>
  </property>
  <property fmtid="{D5CDD505-2E9C-101B-9397-08002B2CF9AE}" pid="11" name="MSIP_Label_922e26b0-dfd3-441a-9785-dc4a47488641_Method">
    <vt:lpwstr>Privileged</vt:lpwstr>
  </property>
  <property fmtid="{D5CDD505-2E9C-101B-9397-08002B2CF9AE}" pid="12" name="MSIP_Label_922e26b0-dfd3-441a-9785-dc4a47488641_Name">
    <vt:lpwstr>defa4170-0d19-0005-0003-bc88714345d2</vt:lpwstr>
  </property>
  <property fmtid="{D5CDD505-2E9C-101B-9397-08002B2CF9AE}" pid="13" name="MSIP_Label_922e26b0-dfd3-441a-9785-dc4a47488641_SiteId">
    <vt:lpwstr>7760035e-a94a-4abe-aa7c-4b8613f8f3a5</vt:lpwstr>
  </property>
  <property fmtid="{D5CDD505-2E9C-101B-9397-08002B2CF9AE}" pid="14" name="MSIP_Label_922e26b0-dfd3-441a-9785-dc4a47488641_ActionId">
    <vt:lpwstr>28c1c90b-7364-42ab-b6d8-b765f47313f3</vt:lpwstr>
  </property>
  <property fmtid="{D5CDD505-2E9C-101B-9397-08002B2CF9AE}" pid="15" name="MSIP_Label_922e26b0-dfd3-441a-9785-dc4a47488641_ContentBits">
    <vt:lpwstr>0</vt:lpwstr>
  </property>
</Properties>
</file>