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EE" w:rsidRDefault="001204EE" w:rsidP="001204EE">
      <w:pPr>
        <w:pStyle w:val="HSBriefing"/>
        <w:jc w:val="both"/>
        <w:rPr>
          <w:rFonts w:cs="Arial"/>
          <w:b/>
          <w:bCs/>
          <w:color w:val="330066"/>
          <w:sz w:val="40"/>
          <w:szCs w:val="40"/>
        </w:rPr>
      </w:pPr>
      <w:bookmarkStart w:id="0" w:name="temp1"/>
      <w:r w:rsidRPr="00A87B91">
        <w:rPr>
          <w:b/>
          <w:color w:val="330066"/>
          <w:sz w:val="40"/>
          <w:szCs w:val="40"/>
          <w:lang w:eastAsia="zh-TW"/>
        </w:rPr>
        <w:pict>
          <v:shapetype id="_x0000_t202" coordsize="21600,21600" o:spt="202" path="m,l,21600r21600,l21600,xe">
            <v:stroke joinstyle="miter"/>
            <v:path gradientshapeok="t" o:connecttype="rect"/>
          </v:shapetype>
          <v:shape id="_x0000_s1068" type="#_x0000_t202" style="position:absolute;left:0;text-align:left;margin-left:239.7pt;margin-top:-85.45pt;width:279pt;height:43.35pt;z-index:251657728;mso-width-relative:margin;mso-height-relative:margin" strokecolor="white">
            <v:textbox style="mso-next-textbox:#_x0000_s1068">
              <w:txbxContent>
                <w:p w:rsidR="00A87B91" w:rsidRPr="00A87B91" w:rsidRDefault="00A87B91" w:rsidP="00A87B91">
                  <w:pPr>
                    <w:rPr>
                      <w:b/>
                      <w:color w:val="FF1F8F"/>
                      <w:sz w:val="40"/>
                      <w:szCs w:val="40"/>
                    </w:rPr>
                  </w:pPr>
                  <w:r w:rsidRPr="00A87B91">
                    <w:rPr>
                      <w:b/>
                      <w:color w:val="FF1F8F"/>
                      <w:sz w:val="40"/>
                      <w:szCs w:val="40"/>
                    </w:rPr>
                    <w:t>Member Factsheet</w:t>
                  </w:r>
                </w:p>
                <w:p w:rsidR="00A87B91" w:rsidRPr="00A87B91" w:rsidRDefault="00A87B91" w:rsidP="00A87B91"/>
              </w:txbxContent>
            </v:textbox>
          </v:shape>
        </w:pict>
      </w:r>
      <w:r w:rsidRPr="001204EE">
        <w:rPr>
          <w:rFonts w:cs="Arial"/>
          <w:b/>
          <w:bCs/>
          <w:color w:val="330066"/>
          <w:sz w:val="40"/>
          <w:szCs w:val="40"/>
        </w:rPr>
        <w:t>Interactive whiteboard projectors</w:t>
      </w:r>
    </w:p>
    <w:bookmarkEnd w:id="0"/>
    <w:p w:rsidR="001204EE" w:rsidRPr="001204EE" w:rsidRDefault="001204EE" w:rsidP="001204EE">
      <w:pPr>
        <w:pStyle w:val="HSBriefing"/>
        <w:jc w:val="both"/>
        <w:rPr>
          <w:rFonts w:cs="Arial"/>
          <w:b/>
          <w:bCs/>
          <w:color w:val="330066"/>
          <w:sz w:val="40"/>
          <w:szCs w:val="40"/>
        </w:rPr>
      </w:pPr>
    </w:p>
    <w:p w:rsidR="001204EE" w:rsidRPr="001204EE" w:rsidRDefault="001204EE" w:rsidP="001204EE">
      <w:r w:rsidRPr="006F0138">
        <w:t xml:space="preserve">Use of interactive whiteboards with projectors is increasingly common in colleges and universities, and has the potential to cause discomfort and damage to the eyes. Certain precautions should be taken to avoid discomfort and possible damage to the eye. </w:t>
      </w:r>
    </w:p>
    <w:p w:rsidR="001204EE" w:rsidRPr="006F0138" w:rsidRDefault="001204EE" w:rsidP="001204EE">
      <w:pPr>
        <w:pStyle w:val="BodyText"/>
      </w:pPr>
      <w:r w:rsidRPr="006F0138">
        <w:t xml:space="preserve">HSE advice used to be that projector beams can also damage peripheral vision.  Victims usually do not realise they have been affected until it is too late.  There is a possibility that a viewer’s peripheral retina could be overexposed even when they are not actually staring directly at the projector’s light beam.  A person would not look away because there would be no realisation that damage was being done and no protective ‘aversion response’.  </w:t>
      </w:r>
    </w:p>
    <w:p w:rsidR="001204EE" w:rsidRPr="006F0138" w:rsidRDefault="001204EE" w:rsidP="001204EE">
      <w:pPr>
        <w:pStyle w:val="BodyText"/>
      </w:pPr>
      <w:r w:rsidRPr="006F0138">
        <w:t xml:space="preserve">When purchasing or using projectors where there is likely to be a person in front of the beam, consideration should be given to the use of a close-coupled projector which sits very close to the screen and effectively eliminates the problem of light beams damaging the eyes. However, these are much more expensive that standard projectors, and for that reason many employers won’t provide them.  </w:t>
      </w:r>
    </w:p>
    <w:p w:rsidR="001204EE" w:rsidRPr="006F0138" w:rsidRDefault="001204EE" w:rsidP="001204EE">
      <w:pPr>
        <w:pStyle w:val="BodyText"/>
      </w:pPr>
      <w:r w:rsidRPr="006F0138">
        <w:t xml:space="preserve">When using a data projector it is important to ensure that all staff and students are aware of the potential danger of allowing the projector’s beam to remain in their field of vision.  Users should be trained to keep their back to the beam and avoid standing with the beam in view while facing towards the class.  On standard projectors there should be a method of controlling light intensity such as a neutral density filter or brightness adjustment facility.  </w:t>
      </w:r>
    </w:p>
    <w:p w:rsidR="001204EE" w:rsidRPr="006F0138" w:rsidRDefault="001204EE" w:rsidP="001204EE">
      <w:pPr>
        <w:pStyle w:val="BodyText"/>
      </w:pPr>
      <w:r w:rsidRPr="006F0138">
        <w:t xml:space="preserve">In a light room, rather than increasing the brightness of the projector, blinds should be used. </w:t>
      </w:r>
    </w:p>
    <w:p w:rsidR="001204EE" w:rsidRPr="006F0138" w:rsidRDefault="001204EE" w:rsidP="001204EE">
      <w:pPr>
        <w:pStyle w:val="BodyText"/>
      </w:pPr>
      <w:r w:rsidRPr="006F0138">
        <w:t xml:space="preserve">The old BECTA - British Educational Communications and Technology Agency - guidelines (BECTA was abolished as part of the government’s “bonfire of quangos” in 2011) were that a maximum of 1500 ANSI lumens is adequate for projection equipment in most classroom environments, except in the most extreme ambient lighting conditions, where it is advised that window blinds are used rather than increasing the brightness of the projector.  BECTA’s webpages are now part of the National Archives – but they aren’t easy to search if you go there </w:t>
      </w:r>
      <w:hyperlink r:id="rId7" w:history="1">
        <w:r w:rsidRPr="001204EE">
          <w:rPr>
            <w:b/>
            <w:color w:val="FF1F8F"/>
          </w:rPr>
          <w:t>http://webarchive.nationalarchives.gov.uk/20101102103654/http:/www.becta.org.uk</w:t>
        </w:r>
      </w:hyperlink>
      <w:r w:rsidRPr="006F0138">
        <w:t xml:space="preserve"> </w:t>
      </w:r>
    </w:p>
    <w:p w:rsidR="001204EE" w:rsidRPr="006F0138" w:rsidRDefault="001204EE" w:rsidP="001204EE">
      <w:pPr>
        <w:pStyle w:val="BodyText"/>
      </w:pPr>
      <w:r w:rsidRPr="006F0138">
        <w:lastRenderedPageBreak/>
        <w:t>Ceiling mounted projectors should be professionally fitted and properly secured.  It is worth checking that this is so, especially where there are suspended ceilings which are lightweight aluminium structures</w:t>
      </w:r>
      <w:r>
        <w:t xml:space="preserve"> </w:t>
      </w:r>
      <w:r w:rsidRPr="006F0138">
        <w:t xml:space="preserve">not strong enough to bear the weight of a projector.  UCU has been told of a ceiling-mounted projector falling. They should be correctly adjusted, so that the ‘keystone correction’ provides a correct ‘rectangular’ image onto the screen. All power and data cabling should be contained in protective trunking. </w:t>
      </w:r>
    </w:p>
    <w:p w:rsidR="001204EE" w:rsidRPr="006F0138" w:rsidRDefault="001204EE" w:rsidP="001204EE">
      <w:pPr>
        <w:pStyle w:val="BodyText"/>
      </w:pPr>
      <w:r w:rsidRPr="006F0138">
        <w:t>It is very important to follow the manufacturer’s instructions. Warning notices should be displayed prominently on the equipment and by the board. Risk assessment should inform good practice within every school. Training in the correct use of the equipment is essential, and should include all health and safety issues.</w:t>
      </w:r>
    </w:p>
    <w:p w:rsidR="001204EE" w:rsidRPr="001204EE" w:rsidRDefault="001204EE" w:rsidP="001204EE">
      <w:pPr>
        <w:pStyle w:val="BodyText"/>
        <w:rPr>
          <w:b/>
          <w:color w:val="FF1F8F"/>
        </w:rPr>
      </w:pPr>
      <w:r w:rsidRPr="006F0138">
        <w:t xml:space="preserve">HSE Guidance is at </w:t>
      </w:r>
      <w:hyperlink r:id="rId8" w:history="1">
        <w:r w:rsidRPr="001204EE">
          <w:rPr>
            <w:b/>
            <w:color w:val="FF1F8F"/>
          </w:rPr>
          <w:t>http://www.hse.gov.uk/radiation/nonionising/white</w:t>
        </w:r>
        <w:r w:rsidRPr="001204EE">
          <w:rPr>
            <w:b/>
            <w:color w:val="FF1F8F"/>
          </w:rPr>
          <w:t>b</w:t>
        </w:r>
        <w:r w:rsidRPr="001204EE">
          <w:rPr>
            <w:b/>
            <w:color w:val="FF1F8F"/>
          </w:rPr>
          <w:t>oards.htm</w:t>
        </w:r>
      </w:hyperlink>
      <w:r w:rsidRPr="006F0138">
        <w:t xml:space="preserve"> but the links provided don’t work (at 29.9.2011). This link to the NUT document does work, and the guidance on projectors is on pages 9-10  </w:t>
      </w:r>
      <w:hyperlink r:id="rId9" w:tgtFrame="_blank" w:history="1">
        <w:r w:rsidRPr="001204EE">
          <w:rPr>
            <w:b/>
            <w:color w:val="FF1F8F"/>
          </w:rPr>
          <w:t>http://www.teachers.org.uk/files/computer-safety.doc</w:t>
        </w:r>
      </w:hyperlink>
      <w:r w:rsidRPr="001204EE">
        <w:rPr>
          <w:b/>
          <w:color w:val="FF1F8F"/>
        </w:rPr>
        <w:t xml:space="preserve"> </w:t>
      </w:r>
    </w:p>
    <w:p w:rsidR="001204EE" w:rsidRPr="006F0138" w:rsidRDefault="001204EE" w:rsidP="001204EE">
      <w:pPr>
        <w:pStyle w:val="BodyText"/>
      </w:pPr>
      <w:r w:rsidRPr="006F0138">
        <w:t>Apart from the general duty on employers to ensure the H&amp;S of employees and others, and employ safe systems of work, these projectors come under the Provision and Use of Work Equipment Regulations 1998 (PUWER) The PUWER Regulations require that equipment provided for use at work is:</w:t>
      </w:r>
    </w:p>
    <w:p w:rsidR="001204EE" w:rsidRPr="006F0138" w:rsidRDefault="001204EE" w:rsidP="001204EE">
      <w:pPr>
        <w:pStyle w:val="ListBullet"/>
      </w:pPr>
      <w:r w:rsidRPr="006F0138">
        <w:t>suitable for the intended use;</w:t>
      </w:r>
    </w:p>
    <w:p w:rsidR="001204EE" w:rsidRPr="006F0138" w:rsidRDefault="001204EE" w:rsidP="001204EE">
      <w:pPr>
        <w:pStyle w:val="ListBullet"/>
      </w:pPr>
      <w:r w:rsidRPr="006F0138">
        <w:t>safe for use, maintained in a safe condition and inspected to ensure this remains the case;</w:t>
      </w:r>
    </w:p>
    <w:p w:rsidR="001204EE" w:rsidRPr="006F0138" w:rsidRDefault="001204EE" w:rsidP="001204EE">
      <w:pPr>
        <w:pStyle w:val="ListBullet"/>
      </w:pPr>
      <w:r w:rsidRPr="006F0138">
        <w:t>used only by people who have received adequate information, instruction and training, and</w:t>
      </w:r>
    </w:p>
    <w:p w:rsidR="001204EE" w:rsidRPr="006F0138" w:rsidRDefault="001204EE" w:rsidP="001204EE">
      <w:pPr>
        <w:pStyle w:val="ListBullet"/>
      </w:pPr>
      <w:r w:rsidRPr="006F0138">
        <w:t>accompanied by suitable safety measures, e.g. protective devices, markings and warnings.</w:t>
      </w:r>
    </w:p>
    <w:p w:rsidR="001204EE" w:rsidRPr="006F0138" w:rsidRDefault="001204EE" w:rsidP="001204EE">
      <w:pPr>
        <w:pStyle w:val="BodyText"/>
      </w:pPr>
      <w:r w:rsidRPr="006F0138">
        <w:t xml:space="preserve">In FE, the AoC has produced guidance for employers.  It’s in their closed website, but ask your employer for a copy – it is information within their knowledge they must give you – here’s the location </w:t>
      </w:r>
      <w:hyperlink r:id="rId10" w:history="1">
        <w:r w:rsidRPr="001204EE">
          <w:rPr>
            <w:b/>
            <w:color w:val="FF1F8F"/>
          </w:rPr>
          <w:t>http://www.aoc.co.uk/Members/health_safety/briefings04/health_safety_15_04/view</w:t>
        </w:r>
      </w:hyperlink>
      <w:r w:rsidRPr="006F0138">
        <w:t xml:space="preserve">  There are a number of college assessments and guidance in there – search their publications at </w:t>
      </w:r>
      <w:hyperlink r:id="rId11" w:history="1">
        <w:r w:rsidRPr="006F0138">
          <w:t>www.aoc.co.uk</w:t>
        </w:r>
      </w:hyperlink>
      <w:r w:rsidRPr="006F0138">
        <w:t xml:space="preserve"> using search term “interactive whiteboards” in the “Free text” field, and select Health and safety in the ‘publication type’ field.  Not more than the HSE guidance really.</w:t>
      </w:r>
    </w:p>
    <w:p w:rsidR="001204EE" w:rsidRPr="006F0138" w:rsidRDefault="001204EE" w:rsidP="001204EE">
      <w:pPr>
        <w:pStyle w:val="BodyText"/>
      </w:pPr>
      <w:r w:rsidRPr="006F0138">
        <w:t xml:space="preserve">Get a copy of PUWER from </w:t>
      </w:r>
      <w:hyperlink r:id="rId12" w:tgtFrame="_blank" w:history="1">
        <w:r w:rsidRPr="001204EE">
          <w:rPr>
            <w:b/>
            <w:color w:val="FF1F8F"/>
          </w:rPr>
          <w:t>http://www.hse.gov.uk/pubns/books/l22.htm</w:t>
        </w:r>
      </w:hyperlink>
      <w:r w:rsidRPr="006F0138">
        <w:t xml:space="preserve"> </w:t>
      </w:r>
    </w:p>
    <w:p w:rsidR="001204EE" w:rsidRPr="006F0138" w:rsidRDefault="001204EE" w:rsidP="001204EE">
      <w:pPr>
        <w:pStyle w:val="BodyText"/>
      </w:pPr>
      <w:r w:rsidRPr="006F0138">
        <w:t>Checklist:</w:t>
      </w:r>
    </w:p>
    <w:p w:rsidR="001204EE" w:rsidRPr="006F0138" w:rsidRDefault="001204EE" w:rsidP="001204EE">
      <w:pPr>
        <w:pStyle w:val="BodyText"/>
      </w:pPr>
      <w:r w:rsidRPr="006F0138">
        <w:lastRenderedPageBreak/>
        <w:t>All projectors have the potential to cause eye injury; so here’s a simple checklist that should be followed:</w:t>
      </w:r>
    </w:p>
    <w:p w:rsidR="001204EE" w:rsidRPr="006F0138" w:rsidRDefault="001204EE" w:rsidP="001204EE">
      <w:pPr>
        <w:pStyle w:val="ListBullet"/>
      </w:pPr>
      <w:r w:rsidRPr="006F0138">
        <w:t>Ensure suitable and sufficient risk assessments have been undertaken and that hazard controls are suitable and effective</w:t>
      </w:r>
    </w:p>
    <w:p w:rsidR="001204EE" w:rsidRPr="006F0138" w:rsidRDefault="001204EE" w:rsidP="001204EE">
      <w:pPr>
        <w:pStyle w:val="ListBullet"/>
      </w:pPr>
      <w:r w:rsidRPr="006F0138">
        <w:t>No one should stare directly into the beam of the projector</w:t>
      </w:r>
    </w:p>
    <w:p w:rsidR="001204EE" w:rsidRPr="006F0138" w:rsidRDefault="001204EE" w:rsidP="001204EE">
      <w:pPr>
        <w:pStyle w:val="ListBullet"/>
      </w:pPr>
      <w:r w:rsidRPr="006F0138">
        <w:t>When entering the beam, users should not look towards the audience for more than a few seconds</w:t>
      </w:r>
    </w:p>
    <w:p w:rsidR="001204EE" w:rsidRPr="006F0138" w:rsidRDefault="001204EE" w:rsidP="001204EE">
      <w:pPr>
        <w:pStyle w:val="ListBullet"/>
      </w:pPr>
      <w:r w:rsidRPr="006F0138">
        <w:t>Users should keep their backs to the projector beam when standing in it</w:t>
      </w:r>
    </w:p>
    <w:p w:rsidR="001204EE" w:rsidRPr="006F0138" w:rsidRDefault="001204EE" w:rsidP="001204EE">
      <w:pPr>
        <w:pStyle w:val="ListBullet"/>
      </w:pPr>
      <w:r w:rsidRPr="006F0138">
        <w:t>The use of a stick or laser pointer is recommended to avoid the need for the user to enter the beam</w:t>
      </w:r>
    </w:p>
    <w:p w:rsidR="001204EE" w:rsidRPr="006F0138" w:rsidRDefault="001204EE" w:rsidP="001204EE">
      <w:pPr>
        <w:pStyle w:val="ListBullet"/>
      </w:pPr>
      <w:r w:rsidRPr="006F0138">
        <w:t>Students should be supervised at all times when a projector is being used and in particular if they are asked to point out something on the screen</w:t>
      </w:r>
    </w:p>
    <w:p w:rsidR="001204EE" w:rsidRPr="006F0138" w:rsidRDefault="001204EE" w:rsidP="001204EE">
      <w:pPr>
        <w:pStyle w:val="ListBullet"/>
      </w:pPr>
      <w:r w:rsidRPr="006F0138">
        <w:t>Control light in the room by using blinds which diffuse rather than remove ambient lighting thus reducing the need to increase the beam intensity</w:t>
      </w:r>
    </w:p>
    <w:p w:rsidR="001204EE" w:rsidRPr="006F0138" w:rsidRDefault="001204EE" w:rsidP="001204EE">
      <w:pPr>
        <w:pStyle w:val="ListBullet"/>
      </w:pPr>
      <w:r w:rsidRPr="006F0138">
        <w:t>Retaining some ambient light enables eye to eye contact to be maintained and there is some evidence that students work more ably when exposed to natural light. Restore natural daylight promptly on conclusion of interactive whiteboard sessions</w:t>
      </w:r>
    </w:p>
    <w:p w:rsidR="001204EE" w:rsidRPr="006F0138" w:rsidRDefault="001204EE" w:rsidP="001204EE">
      <w:pPr>
        <w:pStyle w:val="ListBullet"/>
      </w:pPr>
      <w:r w:rsidRPr="006F0138">
        <w:t>Use the brightness reduction facility on the projection when a presenter is standing in front of the projector</w:t>
      </w:r>
    </w:p>
    <w:p w:rsidR="001204EE" w:rsidRPr="006F0138" w:rsidRDefault="001204EE" w:rsidP="001204EE">
      <w:pPr>
        <w:pStyle w:val="ListBullet"/>
      </w:pPr>
      <w:r w:rsidRPr="006F0138">
        <w:t>A maximum of 1500 ANSI lumens should be more than adequate for most classroom environments</w:t>
      </w:r>
    </w:p>
    <w:p w:rsidR="001204EE" w:rsidRPr="006F0138" w:rsidRDefault="001204EE" w:rsidP="001204EE">
      <w:pPr>
        <w:pStyle w:val="ListBullet"/>
      </w:pPr>
      <w:r w:rsidRPr="006F0138">
        <w:t>Projectors should be installed as far forward as possible to avoid the projector beam entering the user’s field of vision. This is best achieved by ceiling-mounting, rather than floor— or table-mounting, the projector. There are also some all-in-one interactive whiteboards emerging which remove any potential danger of getting the light beam in the eye of the user and almost eliminates the area of shadow from the user</w:t>
      </w:r>
    </w:p>
    <w:p w:rsidR="001204EE" w:rsidRPr="006F0138" w:rsidRDefault="001204EE" w:rsidP="001204EE">
      <w:pPr>
        <w:pStyle w:val="ListBullet"/>
      </w:pPr>
      <w:r w:rsidRPr="006F0138">
        <w:t>Try to avoid people sitting directly under the projector in case it falls</w:t>
      </w:r>
    </w:p>
    <w:p w:rsidR="001204EE" w:rsidRPr="006F0138" w:rsidRDefault="001204EE" w:rsidP="001204EE">
      <w:pPr>
        <w:pStyle w:val="ListBullet"/>
      </w:pPr>
      <w:r w:rsidRPr="006F0138">
        <w:t>Board positioning should be determined following an appropriate risk assessment</w:t>
      </w:r>
    </w:p>
    <w:p w:rsidR="001204EE" w:rsidRPr="006F0138" w:rsidRDefault="001204EE" w:rsidP="001204EE">
      <w:pPr>
        <w:pStyle w:val="ListBullet"/>
      </w:pPr>
      <w:r w:rsidRPr="006F0138">
        <w:t>Electrical standards and regulations apply in relation to all interactive whiteboards aspects</w:t>
      </w:r>
    </w:p>
    <w:p w:rsidR="001204EE" w:rsidRPr="006F0138" w:rsidRDefault="001204EE" w:rsidP="001204EE">
      <w:pPr>
        <w:pStyle w:val="ListBullet"/>
      </w:pPr>
      <w:r w:rsidRPr="006F0138">
        <w:t>Mechanical fixings of boards and projectors are secure and safe</w:t>
      </w:r>
    </w:p>
    <w:p w:rsidR="001204EE" w:rsidRPr="006F0138" w:rsidRDefault="001204EE" w:rsidP="001204EE">
      <w:pPr>
        <w:pStyle w:val="ListBullet"/>
      </w:pPr>
      <w:r w:rsidRPr="006F0138">
        <w:t>Guidelines and warnings should be displayed, as a reminder of the training received, next to interactive boards</w:t>
      </w:r>
    </w:p>
    <w:p w:rsidR="00A87B91" w:rsidRPr="00A87B91" w:rsidRDefault="00A87B91">
      <w:pPr>
        <w:rPr>
          <w:b/>
          <w:color w:val="FF1F8F"/>
          <w:sz w:val="40"/>
          <w:szCs w:val="40"/>
        </w:rPr>
      </w:pPr>
    </w:p>
    <w:sectPr w:rsidR="00A87B91" w:rsidRPr="00A87B91">
      <w:footerReference w:type="default" r:id="rId13"/>
      <w:headerReference w:type="first" r:id="rId14"/>
      <w:endnotePr>
        <w:numFmt w:val="decimal"/>
      </w:endnotePr>
      <w:pgSz w:w="11906" w:h="16838" w:code="9"/>
      <w:pgMar w:top="1418" w:right="1021" w:bottom="1418" w:left="119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DBE" w:rsidRDefault="006E4DBE">
      <w:r>
        <w:separator/>
      </w:r>
    </w:p>
  </w:endnote>
  <w:endnote w:type="continuationSeparator" w:id="0">
    <w:p w:rsidR="006E4DBE" w:rsidRDefault="006E4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C1" w:rsidRDefault="00391DC1">
    <w:pPr>
      <w:pStyle w:val="Footer"/>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DBE" w:rsidRDefault="006E4DBE">
      <w:r>
        <w:separator/>
      </w:r>
    </w:p>
  </w:footnote>
  <w:footnote w:type="continuationSeparator" w:id="0">
    <w:p w:rsidR="006E4DBE" w:rsidRDefault="006E4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C1" w:rsidRDefault="00905E30">
    <w:pPr>
      <w:pStyle w:val="Header"/>
    </w:pPr>
    <w:r>
      <w:rPr>
        <w:noProof/>
        <w:color w:val="330066"/>
        <w:sz w:val="40"/>
        <w:lang w:eastAsia="en-GB"/>
      </w:rPr>
      <w:drawing>
        <wp:inline distT="0" distB="0" distL="0" distR="0">
          <wp:extent cx="2219325" cy="781050"/>
          <wp:effectExtent l="19050" t="0" r="9525" b="0"/>
          <wp:docPr id="1" name="Picture 1"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our"/>
                  <pic:cNvPicPr>
                    <a:picLocks noChangeAspect="1" noChangeArrowheads="1"/>
                  </pic:cNvPicPr>
                </pic:nvPicPr>
                <pic:blipFill>
                  <a:blip r:embed="rId1"/>
                  <a:srcRect/>
                  <a:stretch>
                    <a:fillRect/>
                  </a:stretch>
                </pic:blipFill>
                <pic:spPr bwMode="auto">
                  <a:xfrm>
                    <a:off x="0" y="0"/>
                    <a:ext cx="2219325" cy="781050"/>
                  </a:xfrm>
                  <a:prstGeom prst="rect">
                    <a:avLst/>
                  </a:prstGeom>
                  <a:noFill/>
                  <a:ln w="9525">
                    <a:noFill/>
                    <a:miter lim="800000"/>
                    <a:headEnd/>
                    <a:tailEnd/>
                  </a:ln>
                </pic:spPr>
              </pic:pic>
            </a:graphicData>
          </a:graphic>
        </wp:inline>
      </w:drawing>
    </w:r>
    <w:r w:rsidR="00391DC1">
      <w:rPr>
        <w:color w:val="330066"/>
        <w:sz w:val="4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7CE68E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89EA76D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A7A07A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AA8CCF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38CA8D8"/>
    <w:lvl w:ilvl="0">
      <w:start w:val="1"/>
      <w:numFmt w:val="bullet"/>
      <w:lvlText w:val=""/>
      <w:lvlJc w:val="left"/>
      <w:pPr>
        <w:tabs>
          <w:tab w:val="num" w:pos="360"/>
        </w:tabs>
        <w:ind w:left="360" w:hanging="360"/>
      </w:pPr>
      <w:rPr>
        <w:rFonts w:ascii="Symbol" w:hAnsi="Symbol" w:hint="default"/>
      </w:rPr>
    </w:lvl>
  </w:abstractNum>
  <w:abstractNum w:abstractNumId="5">
    <w:nsid w:val="017F2665"/>
    <w:multiLevelType w:val="hybridMultilevel"/>
    <w:tmpl w:val="528E86E2"/>
    <w:lvl w:ilvl="0">
      <w:start w:val="1"/>
      <w:numFmt w:val="bullet"/>
      <w:lvlText w:val=""/>
      <w:lvlJc w:val="left"/>
      <w:pPr>
        <w:tabs>
          <w:tab w:val="num" w:pos="510"/>
        </w:tabs>
        <w:ind w:left="510" w:hanging="510"/>
      </w:pPr>
      <w:rPr>
        <w:rFonts w:ascii="Wingdings" w:hAnsi="Wingdings" w:hint="default"/>
        <w:color w:val="33006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1CF1217"/>
    <w:multiLevelType w:val="multilevel"/>
    <w:tmpl w:val="CC00B45E"/>
    <w:lvl w:ilvl="0">
      <w:start w:val="1"/>
      <w:numFmt w:val="decimal"/>
      <w:lvlRestart w:val="0"/>
      <w:lvlText w:val="%1"/>
      <w:lvlJc w:val="left"/>
      <w:pPr>
        <w:tabs>
          <w:tab w:val="num" w:pos="2177"/>
        </w:tabs>
        <w:ind w:left="2177" w:hanging="737"/>
      </w:pPr>
      <w:rPr>
        <w:rFonts w:ascii="Verdana" w:hAnsi="Verdana" w:hint="default"/>
        <w:b/>
        <w:i w:val="0"/>
        <w:color w:val="330066"/>
        <w:sz w:val="20"/>
      </w:rPr>
    </w:lvl>
    <w:lvl w:ilvl="1">
      <w:start w:val="1"/>
      <w:numFmt w:val="decimal"/>
      <w:lvlText w:val="%1.%2"/>
      <w:lvlJc w:val="left"/>
      <w:pPr>
        <w:tabs>
          <w:tab w:val="num" w:pos="2177"/>
        </w:tabs>
        <w:ind w:left="2177" w:hanging="737"/>
      </w:pPr>
      <w:rPr>
        <w:rFonts w:hint="default"/>
        <w:color w:val="330066"/>
      </w:rPr>
    </w:lvl>
    <w:lvl w:ilvl="2">
      <w:start w:val="1"/>
      <w:numFmt w:val="decimal"/>
      <w:lvlText w:val="%1.%2.%3"/>
      <w:lvlJc w:val="left"/>
      <w:pPr>
        <w:tabs>
          <w:tab w:val="num" w:pos="2177"/>
        </w:tabs>
        <w:ind w:left="2177" w:hanging="737"/>
      </w:pPr>
      <w:rPr>
        <w:rFonts w:hint="default"/>
        <w:color w:val="330066"/>
      </w:rPr>
    </w:lvl>
    <w:lvl w:ilvl="3">
      <w:start w:val="1"/>
      <w:numFmt w:val="decimal"/>
      <w:lvlText w:val="%1.%2.%3.%4."/>
      <w:lvlJc w:val="left"/>
      <w:pPr>
        <w:tabs>
          <w:tab w:val="num" w:pos="2574"/>
        </w:tabs>
        <w:ind w:left="2574" w:hanging="1134"/>
      </w:pPr>
      <w:rPr>
        <w:rFonts w:hint="default"/>
      </w:rPr>
    </w:lvl>
    <w:lvl w:ilvl="4">
      <w:start w:val="1"/>
      <w:numFmt w:val="decimal"/>
      <w:lvlText w:val="%1.%2.%3.%4.%5."/>
      <w:lvlJc w:val="left"/>
      <w:pPr>
        <w:tabs>
          <w:tab w:val="num" w:pos="2574"/>
        </w:tabs>
        <w:ind w:left="2574" w:hanging="1134"/>
      </w:pPr>
      <w:rPr>
        <w:rFonts w:hint="default"/>
      </w:rPr>
    </w:lvl>
    <w:lvl w:ilvl="5">
      <w:start w:val="1"/>
      <w:numFmt w:val="decimal"/>
      <w:lvlText w:val="%1.%2.%3.%4.%5.%6."/>
      <w:lvlJc w:val="left"/>
      <w:pPr>
        <w:tabs>
          <w:tab w:val="num" w:pos="3141"/>
        </w:tabs>
        <w:ind w:left="3141" w:hanging="1701"/>
      </w:pPr>
      <w:rPr>
        <w:rFonts w:hint="default"/>
      </w:rPr>
    </w:lvl>
    <w:lvl w:ilvl="6">
      <w:start w:val="1"/>
      <w:numFmt w:val="decimal"/>
      <w:lvlText w:val="%1.%2.%3.%4.%5.%6.%7."/>
      <w:lvlJc w:val="left"/>
      <w:pPr>
        <w:tabs>
          <w:tab w:val="num" w:pos="3141"/>
        </w:tabs>
        <w:ind w:left="3141" w:hanging="1701"/>
      </w:pPr>
      <w:rPr>
        <w:rFonts w:hint="default"/>
      </w:rPr>
    </w:lvl>
    <w:lvl w:ilvl="7">
      <w:start w:val="1"/>
      <w:numFmt w:val="decimal"/>
      <w:lvlText w:val="%1.%2.%3.%4.%5.%6.%7.%8."/>
      <w:lvlJc w:val="left"/>
      <w:pPr>
        <w:tabs>
          <w:tab w:val="num" w:pos="3141"/>
        </w:tabs>
        <w:ind w:left="3141" w:hanging="1701"/>
      </w:pPr>
      <w:rPr>
        <w:rFonts w:hint="default"/>
      </w:rPr>
    </w:lvl>
    <w:lvl w:ilvl="8">
      <w:start w:val="1"/>
      <w:numFmt w:val="decimal"/>
      <w:lvlText w:val="%1.%2.%3.%4.%5.%6.%7.%8.%9."/>
      <w:lvlJc w:val="left"/>
      <w:pPr>
        <w:tabs>
          <w:tab w:val="num" w:pos="3141"/>
        </w:tabs>
        <w:ind w:left="3141" w:hanging="1701"/>
      </w:pPr>
      <w:rPr>
        <w:rFonts w:hint="default"/>
      </w:rPr>
    </w:lvl>
  </w:abstractNum>
  <w:abstractNum w:abstractNumId="7">
    <w:nsid w:val="07962648"/>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8">
    <w:nsid w:val="0BB30744"/>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9">
    <w:nsid w:val="15517944"/>
    <w:multiLevelType w:val="hybridMultilevel"/>
    <w:tmpl w:val="3D787844"/>
    <w:lvl w:ilvl="0">
      <w:start w:val="1"/>
      <w:numFmt w:val="bullet"/>
      <w:lvlText w:val=""/>
      <w:lvlJc w:val="left"/>
      <w:pPr>
        <w:tabs>
          <w:tab w:val="num" w:pos="454"/>
        </w:tabs>
        <w:ind w:left="454" w:hanging="454"/>
      </w:pPr>
      <w:rPr>
        <w:rFonts w:ascii="Wingdings" w:hAnsi="Wingdings" w:hint="default"/>
        <w:color w:val="33006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8647959"/>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1">
    <w:nsid w:val="19ED456A"/>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2">
    <w:nsid w:val="1B362E64"/>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3">
    <w:nsid w:val="20412845"/>
    <w:multiLevelType w:val="hybridMultilevel"/>
    <w:tmpl w:val="3D78784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69906B2"/>
    <w:multiLevelType w:val="hybridMultilevel"/>
    <w:tmpl w:val="3D787844"/>
    <w:lvl w:ilvl="0" w:tplc="6ED688DE">
      <w:start w:val="1"/>
      <w:numFmt w:val="bullet"/>
      <w:lvlText w:val=""/>
      <w:lvlJc w:val="left"/>
      <w:pPr>
        <w:tabs>
          <w:tab w:val="num" w:pos="454"/>
        </w:tabs>
        <w:ind w:left="454" w:hanging="454"/>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76F7CCF"/>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7E947BE"/>
    <w:multiLevelType w:val="multilevel"/>
    <w:tmpl w:val="7400B9E0"/>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CB024C7"/>
    <w:multiLevelType w:val="multilevel"/>
    <w:tmpl w:val="CC00B45E"/>
    <w:lvl w:ilvl="0">
      <w:start w:val="1"/>
      <w:numFmt w:val="decimal"/>
      <w:lvlRestart w:val="0"/>
      <w:lvlText w:val="%1"/>
      <w:lvlJc w:val="left"/>
      <w:pPr>
        <w:tabs>
          <w:tab w:val="num" w:pos="2897"/>
        </w:tabs>
        <w:ind w:left="2897" w:hanging="737"/>
      </w:pPr>
      <w:rPr>
        <w:rFonts w:ascii="Verdana" w:hAnsi="Verdana" w:hint="default"/>
        <w:b/>
        <w:i w:val="0"/>
        <w:color w:val="330066"/>
        <w:sz w:val="20"/>
      </w:rPr>
    </w:lvl>
    <w:lvl w:ilvl="1">
      <w:start w:val="1"/>
      <w:numFmt w:val="decimal"/>
      <w:lvlText w:val="%1.%2"/>
      <w:lvlJc w:val="left"/>
      <w:pPr>
        <w:tabs>
          <w:tab w:val="num" w:pos="2897"/>
        </w:tabs>
        <w:ind w:left="2897" w:hanging="737"/>
      </w:pPr>
      <w:rPr>
        <w:rFonts w:hint="default"/>
        <w:color w:val="330066"/>
      </w:rPr>
    </w:lvl>
    <w:lvl w:ilvl="2">
      <w:start w:val="1"/>
      <w:numFmt w:val="decimal"/>
      <w:lvlText w:val="%1.%2.%3"/>
      <w:lvlJc w:val="left"/>
      <w:pPr>
        <w:tabs>
          <w:tab w:val="num" w:pos="2897"/>
        </w:tabs>
        <w:ind w:left="2897" w:hanging="737"/>
      </w:pPr>
      <w:rPr>
        <w:rFonts w:hint="default"/>
        <w:color w:val="330066"/>
      </w:rPr>
    </w:lvl>
    <w:lvl w:ilvl="3">
      <w:start w:val="1"/>
      <w:numFmt w:val="decimal"/>
      <w:lvlText w:val="%1.%2.%3.%4."/>
      <w:lvlJc w:val="left"/>
      <w:pPr>
        <w:tabs>
          <w:tab w:val="num" w:pos="3294"/>
        </w:tabs>
        <w:ind w:left="3294" w:hanging="1134"/>
      </w:pPr>
      <w:rPr>
        <w:rFonts w:hint="default"/>
      </w:rPr>
    </w:lvl>
    <w:lvl w:ilvl="4">
      <w:start w:val="1"/>
      <w:numFmt w:val="decimal"/>
      <w:lvlText w:val="%1.%2.%3.%4.%5."/>
      <w:lvlJc w:val="left"/>
      <w:pPr>
        <w:tabs>
          <w:tab w:val="num" w:pos="3294"/>
        </w:tabs>
        <w:ind w:left="3294" w:hanging="1134"/>
      </w:pPr>
      <w:rPr>
        <w:rFonts w:hint="default"/>
      </w:rPr>
    </w:lvl>
    <w:lvl w:ilvl="5">
      <w:start w:val="1"/>
      <w:numFmt w:val="decimal"/>
      <w:lvlText w:val="%1.%2.%3.%4.%5.%6."/>
      <w:lvlJc w:val="left"/>
      <w:pPr>
        <w:tabs>
          <w:tab w:val="num" w:pos="3861"/>
        </w:tabs>
        <w:ind w:left="3861" w:hanging="1701"/>
      </w:pPr>
      <w:rPr>
        <w:rFonts w:hint="default"/>
      </w:rPr>
    </w:lvl>
    <w:lvl w:ilvl="6">
      <w:start w:val="1"/>
      <w:numFmt w:val="decimal"/>
      <w:lvlText w:val="%1.%2.%3.%4.%5.%6.%7."/>
      <w:lvlJc w:val="left"/>
      <w:pPr>
        <w:tabs>
          <w:tab w:val="num" w:pos="3861"/>
        </w:tabs>
        <w:ind w:left="3861" w:hanging="1701"/>
      </w:pPr>
      <w:rPr>
        <w:rFonts w:hint="default"/>
      </w:rPr>
    </w:lvl>
    <w:lvl w:ilvl="7">
      <w:start w:val="1"/>
      <w:numFmt w:val="decimal"/>
      <w:lvlText w:val="%1.%2.%3.%4.%5.%6.%7.%8."/>
      <w:lvlJc w:val="left"/>
      <w:pPr>
        <w:tabs>
          <w:tab w:val="num" w:pos="3861"/>
        </w:tabs>
        <w:ind w:left="3861" w:hanging="1701"/>
      </w:pPr>
      <w:rPr>
        <w:rFonts w:hint="default"/>
      </w:rPr>
    </w:lvl>
    <w:lvl w:ilvl="8">
      <w:start w:val="1"/>
      <w:numFmt w:val="decimal"/>
      <w:lvlText w:val="%1.%2.%3.%4.%5.%6.%7.%8.%9."/>
      <w:lvlJc w:val="left"/>
      <w:pPr>
        <w:tabs>
          <w:tab w:val="num" w:pos="3861"/>
        </w:tabs>
        <w:ind w:left="3861" w:hanging="1701"/>
      </w:pPr>
      <w:rPr>
        <w:rFonts w:hint="default"/>
      </w:rPr>
    </w:lvl>
  </w:abstractNum>
  <w:abstractNum w:abstractNumId="18">
    <w:nsid w:val="37CC4449"/>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9">
    <w:nsid w:val="3A18759A"/>
    <w:multiLevelType w:val="hybridMultilevel"/>
    <w:tmpl w:val="DB12E828"/>
    <w:lvl w:ilvl="0">
      <w:start w:val="1"/>
      <w:numFmt w:val="bullet"/>
      <w:lvlText w:val=""/>
      <w:lvlJc w:val="left"/>
      <w:pPr>
        <w:tabs>
          <w:tab w:val="num" w:pos="510"/>
        </w:tabs>
        <w:ind w:left="510" w:hanging="510"/>
      </w:pPr>
      <w:rPr>
        <w:rFonts w:ascii="Wingdings" w:hAnsi="Wingdings" w:hint="default"/>
        <w:color w:val="33006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B9F7526"/>
    <w:multiLevelType w:val="hybridMultilevel"/>
    <w:tmpl w:val="128E2208"/>
    <w:lvl w:ilvl="0" w:tplc="B888C9B6">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CD2E02"/>
    <w:multiLevelType w:val="multilevel"/>
    <w:tmpl w:val="CC00B45E"/>
    <w:lvl w:ilvl="0">
      <w:start w:val="1"/>
      <w:numFmt w:val="decimal"/>
      <w:lvlRestart w:val="0"/>
      <w:lvlText w:val="%1"/>
      <w:lvlJc w:val="left"/>
      <w:pPr>
        <w:tabs>
          <w:tab w:val="num" w:pos="1457"/>
        </w:tabs>
        <w:ind w:left="1457" w:hanging="737"/>
      </w:pPr>
      <w:rPr>
        <w:rFonts w:ascii="Verdana" w:hAnsi="Verdana" w:hint="default"/>
        <w:b/>
        <w:i w:val="0"/>
        <w:color w:val="330066"/>
        <w:sz w:val="20"/>
      </w:rPr>
    </w:lvl>
    <w:lvl w:ilvl="1">
      <w:start w:val="1"/>
      <w:numFmt w:val="decimal"/>
      <w:lvlText w:val="%1.%2"/>
      <w:lvlJc w:val="left"/>
      <w:pPr>
        <w:tabs>
          <w:tab w:val="num" w:pos="1457"/>
        </w:tabs>
        <w:ind w:left="1457" w:hanging="737"/>
      </w:pPr>
      <w:rPr>
        <w:rFonts w:hint="default"/>
        <w:color w:val="330066"/>
      </w:rPr>
    </w:lvl>
    <w:lvl w:ilvl="2">
      <w:start w:val="1"/>
      <w:numFmt w:val="decimal"/>
      <w:lvlText w:val="%1.%2.%3"/>
      <w:lvlJc w:val="left"/>
      <w:pPr>
        <w:tabs>
          <w:tab w:val="num" w:pos="1457"/>
        </w:tabs>
        <w:ind w:left="1457" w:hanging="737"/>
      </w:pPr>
      <w:rPr>
        <w:rFonts w:hint="default"/>
        <w:color w:val="330066"/>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421"/>
        </w:tabs>
        <w:ind w:left="2421" w:hanging="1701"/>
      </w:pPr>
      <w:rPr>
        <w:rFonts w:hint="default"/>
      </w:rPr>
    </w:lvl>
    <w:lvl w:ilvl="6">
      <w:start w:val="1"/>
      <w:numFmt w:val="decimal"/>
      <w:lvlText w:val="%1.%2.%3.%4.%5.%6.%7."/>
      <w:lvlJc w:val="left"/>
      <w:pPr>
        <w:tabs>
          <w:tab w:val="num" w:pos="2421"/>
        </w:tabs>
        <w:ind w:left="2421" w:hanging="1701"/>
      </w:pPr>
      <w:rPr>
        <w:rFonts w:hint="default"/>
      </w:rPr>
    </w:lvl>
    <w:lvl w:ilvl="7">
      <w:start w:val="1"/>
      <w:numFmt w:val="decimal"/>
      <w:lvlText w:val="%1.%2.%3.%4.%5.%6.%7.%8."/>
      <w:lvlJc w:val="left"/>
      <w:pPr>
        <w:tabs>
          <w:tab w:val="num" w:pos="2421"/>
        </w:tabs>
        <w:ind w:left="2421" w:hanging="1701"/>
      </w:pPr>
      <w:rPr>
        <w:rFonts w:hint="default"/>
      </w:rPr>
    </w:lvl>
    <w:lvl w:ilvl="8">
      <w:start w:val="1"/>
      <w:numFmt w:val="decimal"/>
      <w:lvlText w:val="%1.%2.%3.%4.%5.%6.%7.%8.%9."/>
      <w:lvlJc w:val="left"/>
      <w:pPr>
        <w:tabs>
          <w:tab w:val="num" w:pos="2421"/>
        </w:tabs>
        <w:ind w:left="2421" w:hanging="1701"/>
      </w:pPr>
      <w:rPr>
        <w:rFonts w:hint="default"/>
      </w:rPr>
    </w:lvl>
  </w:abstractNum>
  <w:abstractNum w:abstractNumId="22">
    <w:nsid w:val="414D5623"/>
    <w:multiLevelType w:val="multilevel"/>
    <w:tmpl w:val="9A5C4836"/>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bullet"/>
      <w:lvlText w:val=""/>
      <w:lvlJc w:val="left"/>
      <w:pPr>
        <w:tabs>
          <w:tab w:val="num" w:pos="510"/>
        </w:tabs>
        <w:ind w:left="510" w:hanging="510"/>
      </w:pPr>
      <w:rPr>
        <w:rFonts w:ascii="Wingdings" w:hAnsi="Wingdings" w:hint="default"/>
        <w:b/>
        <w:i w:val="0"/>
        <w:color w:val="330066"/>
        <w:sz w:val="2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23">
    <w:nsid w:val="434875F4"/>
    <w:multiLevelType w:val="hybridMultilevel"/>
    <w:tmpl w:val="A37429FA"/>
    <w:lvl w:ilvl="0" w:tplc="FFFFFFFF">
      <w:start w:val="1"/>
      <w:numFmt w:val="bullet"/>
      <w:pStyle w:val="ListBullet"/>
      <w:lvlText w:val=""/>
      <w:lvlJc w:val="left"/>
      <w:pPr>
        <w:tabs>
          <w:tab w:val="num" w:pos="510"/>
        </w:tabs>
        <w:ind w:left="510" w:hanging="510"/>
      </w:pPr>
      <w:rPr>
        <w:rFonts w:ascii="Wingdings" w:hAnsi="Wingdings" w:hint="default"/>
        <w:color w:val="33006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B888C9B6"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4890ABC"/>
    <w:multiLevelType w:val="hybridMultilevel"/>
    <w:tmpl w:val="3D787844"/>
    <w:lvl w:ilvl="0" w:tplc="775C5ED4">
      <w:start w:val="1"/>
      <w:numFmt w:val="bullet"/>
      <w:lvlText w:val=""/>
      <w:lvlJc w:val="left"/>
      <w:pPr>
        <w:tabs>
          <w:tab w:val="num" w:pos="360"/>
        </w:tabs>
        <w:ind w:left="360" w:hanging="360"/>
      </w:pPr>
      <w:rPr>
        <w:rFonts w:ascii="Wingdings" w:hAnsi="Wingdings" w:hint="default"/>
        <w:color w:val="330066"/>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4AAA0EB3"/>
    <w:multiLevelType w:val="hybridMultilevel"/>
    <w:tmpl w:val="DA1A97AE"/>
    <w:lvl w:ilvl="0" w:tplc="35DA3DB4">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2032F6"/>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2EB3B0E"/>
    <w:multiLevelType w:val="multilevel"/>
    <w:tmpl w:val="56822D82"/>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28">
    <w:nsid w:val="5E227929"/>
    <w:multiLevelType w:val="hybridMultilevel"/>
    <w:tmpl w:val="3D787844"/>
    <w:lvl w:ilvl="0">
      <w:start w:val="1"/>
      <w:numFmt w:val="bullet"/>
      <w:lvlText w:val=""/>
      <w:lvlJc w:val="left"/>
      <w:pPr>
        <w:tabs>
          <w:tab w:val="num" w:pos="454"/>
        </w:tabs>
        <w:ind w:left="454" w:hanging="454"/>
      </w:pPr>
      <w:rPr>
        <w:rFonts w:ascii="Wingdings" w:hAnsi="Wingdings" w:hint="default"/>
        <w:color w:val="33006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613D22DA"/>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B0607FB"/>
    <w:multiLevelType w:val="hybridMultilevel"/>
    <w:tmpl w:val="C332E2EE"/>
    <w:lvl w:ilvl="0">
      <w:start w:val="1"/>
      <w:numFmt w:val="decimal"/>
      <w:lvlText w:val="%1"/>
      <w:lvlJc w:val="left"/>
      <w:pPr>
        <w:tabs>
          <w:tab w:val="num" w:pos="510"/>
        </w:tabs>
        <w:ind w:left="510" w:hanging="510"/>
      </w:pPr>
      <w:rPr>
        <w:rFonts w:ascii="Verdana" w:hAnsi="Verdana" w:hint="default"/>
        <w:b/>
        <w:i w:val="0"/>
        <w:color w:val="330066"/>
        <w:sz w:val="21"/>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2545C3F"/>
    <w:multiLevelType w:val="multilevel"/>
    <w:tmpl w:val="A37EAE96"/>
    <w:lvl w:ilvl="0">
      <w:start w:val="1"/>
      <w:numFmt w:val="decimal"/>
      <w:lvlRestart w:val="0"/>
      <w:lvlText w:val="%1"/>
      <w:lvlJc w:val="left"/>
      <w:pPr>
        <w:tabs>
          <w:tab w:val="num" w:pos="737"/>
        </w:tabs>
        <w:ind w:left="737" w:hanging="737"/>
      </w:pPr>
      <w:rPr>
        <w:rFonts w:ascii="Verdana" w:hAnsi="Verdana"/>
        <w:b/>
        <w:i w:val="0"/>
        <w:color w:val="330066"/>
      </w:rPr>
    </w:lvl>
    <w:lvl w:ilvl="1">
      <w:start w:val="1"/>
      <w:numFmt w:val="decimal"/>
      <w:lvlText w:val="%1.%2"/>
      <w:lvlJc w:val="left"/>
      <w:pPr>
        <w:tabs>
          <w:tab w:val="num" w:pos="737"/>
        </w:tabs>
        <w:ind w:left="737" w:hanging="737"/>
      </w:pPr>
      <w:rPr>
        <w:color w:val="330066"/>
      </w:rPr>
    </w:lvl>
    <w:lvl w:ilvl="2">
      <w:start w:val="1"/>
      <w:numFmt w:val="decimal"/>
      <w:lvlText w:val="%1.%2.%3"/>
      <w:lvlJc w:val="left"/>
      <w:pPr>
        <w:tabs>
          <w:tab w:val="num" w:pos="737"/>
        </w:tabs>
        <w:ind w:left="737" w:hanging="737"/>
      </w:pPr>
      <w:rPr>
        <w:color w:val="330066"/>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701"/>
        </w:tabs>
        <w:ind w:left="1701" w:hanging="1701"/>
      </w:pPr>
    </w:lvl>
  </w:abstractNum>
  <w:abstractNum w:abstractNumId="32">
    <w:nsid w:val="7597054C"/>
    <w:multiLevelType w:val="hybridMultilevel"/>
    <w:tmpl w:val="3D787844"/>
    <w:lvl w:ilvl="0">
      <w:start w:val="1"/>
      <w:numFmt w:val="bullet"/>
      <w:lvlText w:val=""/>
      <w:lvlJc w:val="left"/>
      <w:pPr>
        <w:tabs>
          <w:tab w:val="num" w:pos="510"/>
        </w:tabs>
        <w:ind w:left="510" w:hanging="510"/>
      </w:pPr>
      <w:rPr>
        <w:rFonts w:ascii="Wingdings" w:hAnsi="Wingdings" w:hint="default"/>
        <w:color w:val="330066"/>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7F373235"/>
    <w:multiLevelType w:val="hybridMultilevel"/>
    <w:tmpl w:val="3D787844"/>
    <w:lvl w:ilvl="0" w:tplc="B888C9B6">
      <w:start w:val="1"/>
      <w:numFmt w:val="bullet"/>
      <w:lvlText w:val=""/>
      <w:lvlJc w:val="left"/>
      <w:pPr>
        <w:tabs>
          <w:tab w:val="num" w:pos="510"/>
        </w:tabs>
        <w:ind w:left="510" w:hanging="510"/>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25"/>
  </w:num>
  <w:num w:numId="7">
    <w:abstractNumId w:val="27"/>
  </w:num>
  <w:num w:numId="8">
    <w:abstractNumId w:val="27"/>
  </w:num>
  <w:num w:numId="9">
    <w:abstractNumId w:val="25"/>
  </w:num>
  <w:num w:numId="10">
    <w:abstractNumId w:val="20"/>
  </w:num>
  <w:num w:numId="11">
    <w:abstractNumId w:val="13"/>
  </w:num>
  <w:num w:numId="12">
    <w:abstractNumId w:val="24"/>
  </w:num>
  <w:num w:numId="13">
    <w:abstractNumId w:val="7"/>
  </w:num>
  <w:num w:numId="14">
    <w:abstractNumId w:val="9"/>
  </w:num>
  <w:num w:numId="15">
    <w:abstractNumId w:val="14"/>
  </w:num>
  <w:num w:numId="16">
    <w:abstractNumId w:val="28"/>
  </w:num>
  <w:num w:numId="17">
    <w:abstractNumId w:val="32"/>
  </w:num>
  <w:num w:numId="18">
    <w:abstractNumId w:val="33"/>
  </w:num>
  <w:num w:numId="19">
    <w:abstractNumId w:val="30"/>
  </w:num>
  <w:num w:numId="20">
    <w:abstractNumId w:val="19"/>
  </w:num>
  <w:num w:numId="21">
    <w:abstractNumId w:val="26"/>
  </w:num>
  <w:num w:numId="22">
    <w:abstractNumId w:val="29"/>
  </w:num>
  <w:num w:numId="23">
    <w:abstractNumId w:val="15"/>
  </w:num>
  <w:num w:numId="24">
    <w:abstractNumId w:val="16"/>
  </w:num>
  <w:num w:numId="25">
    <w:abstractNumId w:val="5"/>
  </w:num>
  <w:num w:numId="26">
    <w:abstractNumId w:val="8"/>
  </w:num>
  <w:num w:numId="27">
    <w:abstractNumId w:val="23"/>
  </w:num>
  <w:num w:numId="28">
    <w:abstractNumId w:val="12"/>
  </w:num>
  <w:num w:numId="29">
    <w:abstractNumId w:val="6"/>
  </w:num>
  <w:num w:numId="30">
    <w:abstractNumId w:val="21"/>
  </w:num>
  <w:num w:numId="31">
    <w:abstractNumId w:val="17"/>
  </w:num>
  <w:num w:numId="32">
    <w:abstractNumId w:val="18"/>
  </w:num>
  <w:num w:numId="33">
    <w:abstractNumId w:val="22"/>
  </w:num>
  <w:num w:numId="34">
    <w:abstractNumId w:val="10"/>
  </w:num>
  <w:num w:numId="35">
    <w:abstractNumId w:val="11"/>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3074">
      <o:colormru v:ext="edit" colors="#ff1f8f,#fff3f9,#c5c5ff,#ffeff7,#ffe5f2,#c3c3ff,#ffebf5,#333"/>
      <o:colormenu v:ext="edit" fillcolor="#f90" strokecolor="none"/>
    </o:shapedefaults>
  </w:hdrShapeDefaults>
  <w:footnotePr>
    <w:footnote w:id="-1"/>
    <w:footnote w:id="0"/>
  </w:footnotePr>
  <w:endnotePr>
    <w:numFmt w:val="decimal"/>
    <w:endnote w:id="-1"/>
    <w:endnote w:id="0"/>
  </w:endnotePr>
  <w:compat/>
  <w:rsids>
    <w:rsidRoot w:val="007B70F9"/>
    <w:rsid w:val="000005DF"/>
    <w:rsid w:val="000364E6"/>
    <w:rsid w:val="000C7544"/>
    <w:rsid w:val="001204EE"/>
    <w:rsid w:val="0016339B"/>
    <w:rsid w:val="00163629"/>
    <w:rsid w:val="001E2A38"/>
    <w:rsid w:val="00224080"/>
    <w:rsid w:val="00235106"/>
    <w:rsid w:val="00255179"/>
    <w:rsid w:val="003122C8"/>
    <w:rsid w:val="00337C6B"/>
    <w:rsid w:val="00351C2D"/>
    <w:rsid w:val="00356B45"/>
    <w:rsid w:val="00391DC1"/>
    <w:rsid w:val="003D1273"/>
    <w:rsid w:val="004010BE"/>
    <w:rsid w:val="00482376"/>
    <w:rsid w:val="004A5845"/>
    <w:rsid w:val="00502326"/>
    <w:rsid w:val="00565888"/>
    <w:rsid w:val="005A3394"/>
    <w:rsid w:val="005C65B4"/>
    <w:rsid w:val="005F116D"/>
    <w:rsid w:val="006347DC"/>
    <w:rsid w:val="0064022C"/>
    <w:rsid w:val="00655E42"/>
    <w:rsid w:val="0069402C"/>
    <w:rsid w:val="0069471A"/>
    <w:rsid w:val="00694CCA"/>
    <w:rsid w:val="00696003"/>
    <w:rsid w:val="006E4DBE"/>
    <w:rsid w:val="00704CD8"/>
    <w:rsid w:val="0078786E"/>
    <w:rsid w:val="007B2DE1"/>
    <w:rsid w:val="007B70F9"/>
    <w:rsid w:val="007C1EB3"/>
    <w:rsid w:val="00851321"/>
    <w:rsid w:val="008821BD"/>
    <w:rsid w:val="008A5856"/>
    <w:rsid w:val="008B20D4"/>
    <w:rsid w:val="008C0CFB"/>
    <w:rsid w:val="00905E30"/>
    <w:rsid w:val="00930767"/>
    <w:rsid w:val="009B35F4"/>
    <w:rsid w:val="009E5CA5"/>
    <w:rsid w:val="00A135E8"/>
    <w:rsid w:val="00A74D16"/>
    <w:rsid w:val="00A8273A"/>
    <w:rsid w:val="00A83D0A"/>
    <w:rsid w:val="00A8565A"/>
    <w:rsid w:val="00A87B91"/>
    <w:rsid w:val="00A93E0F"/>
    <w:rsid w:val="00AB7EA8"/>
    <w:rsid w:val="00AF29E8"/>
    <w:rsid w:val="00B0310F"/>
    <w:rsid w:val="00B34D68"/>
    <w:rsid w:val="00BF3039"/>
    <w:rsid w:val="00C73679"/>
    <w:rsid w:val="00C746E5"/>
    <w:rsid w:val="00C9581D"/>
    <w:rsid w:val="00CD6E0D"/>
    <w:rsid w:val="00CF2104"/>
    <w:rsid w:val="00D00349"/>
    <w:rsid w:val="00D037A3"/>
    <w:rsid w:val="00D34BC2"/>
    <w:rsid w:val="00D42013"/>
    <w:rsid w:val="00D4625A"/>
    <w:rsid w:val="00E95B6F"/>
    <w:rsid w:val="00EB2651"/>
    <w:rsid w:val="00ED4FB6"/>
    <w:rsid w:val="00F35F11"/>
    <w:rsid w:val="00F37081"/>
    <w:rsid w:val="00F515AD"/>
    <w:rsid w:val="00F97733"/>
    <w:rsid w:val="00FA7A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f1f8f,#fff3f9,#c5c5ff,#ffeff7,#ffe5f2,#c3c3ff,#ffebf5,#333"/>
      <o:colormenu v:ext="edit" fillcolor="#f9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39B"/>
    <w:pPr>
      <w:spacing w:after="100" w:afterAutospacing="1" w:line="300" w:lineRule="auto"/>
    </w:pPr>
    <w:rPr>
      <w:rFonts w:ascii="Verdana" w:hAnsi="Verdana"/>
      <w:sz w:val="21"/>
      <w:szCs w:val="24"/>
      <w:lang w:eastAsia="en-US"/>
    </w:rPr>
  </w:style>
  <w:style w:type="paragraph" w:styleId="Heading1">
    <w:name w:val="heading 1"/>
    <w:basedOn w:val="Normal"/>
    <w:next w:val="BodyText"/>
    <w:qFormat/>
    <w:pPr>
      <w:keepNext/>
      <w:spacing w:before="120" w:line="264" w:lineRule="auto"/>
      <w:outlineLvl w:val="0"/>
    </w:pPr>
    <w:rPr>
      <w:b/>
      <w:bCs/>
      <w:color w:val="3D007A"/>
      <w:sz w:val="34"/>
    </w:rPr>
  </w:style>
  <w:style w:type="paragraph" w:styleId="Heading2">
    <w:name w:val="heading 2"/>
    <w:basedOn w:val="Normal"/>
    <w:next w:val="BodyText"/>
    <w:qFormat/>
    <w:pPr>
      <w:keepNext/>
      <w:spacing w:line="264" w:lineRule="auto"/>
      <w:outlineLvl w:val="1"/>
    </w:pPr>
    <w:rPr>
      <w:rFonts w:cs="Arial"/>
      <w:b/>
      <w:bCs/>
      <w:iCs/>
      <w:color w:val="330066"/>
      <w:sz w:val="28"/>
      <w:szCs w:val="28"/>
    </w:rPr>
  </w:style>
  <w:style w:type="paragraph" w:styleId="Heading3">
    <w:name w:val="heading 3"/>
    <w:basedOn w:val="Normal"/>
    <w:next w:val="BodyText"/>
    <w:qFormat/>
    <w:pPr>
      <w:keepNext/>
      <w:spacing w:line="264" w:lineRule="auto"/>
      <w:outlineLvl w:val="2"/>
    </w:pPr>
    <w:rPr>
      <w:rFonts w:cs="Arial"/>
      <w:b/>
      <w:bCs/>
      <w:color w:val="330066"/>
      <w:sz w:val="24"/>
      <w:szCs w:val="26"/>
    </w:rPr>
  </w:style>
  <w:style w:type="paragraph" w:styleId="Heading4">
    <w:name w:val="heading 4"/>
    <w:basedOn w:val="Normal"/>
    <w:next w:val="BodyText"/>
    <w:qFormat/>
    <w:rsid w:val="005A3394"/>
    <w:pPr>
      <w:keepNext/>
      <w:spacing w:line="264" w:lineRule="auto"/>
      <w:outlineLvl w:val="3"/>
    </w:pPr>
    <w:rPr>
      <w:b/>
      <w:bCs/>
      <w:color w:val="330066"/>
    </w:rPr>
  </w:style>
  <w:style w:type="paragraph" w:styleId="Heading5">
    <w:name w:val="heading 5"/>
    <w:basedOn w:val="Heading4"/>
    <w:next w:val="Normal"/>
    <w:qFormat/>
    <w:rsid w:val="00351C2D"/>
    <w:pPr>
      <w:outlineLvl w:val="4"/>
    </w:pPr>
    <w:rPr>
      <w:bCs w:val="0"/>
      <w:sz w:val="20"/>
    </w:rPr>
  </w:style>
  <w:style w:type="paragraph" w:styleId="Heading6">
    <w:name w:val="heading 6"/>
    <w:basedOn w:val="Heading5"/>
    <w:next w:val="Normal"/>
    <w:qFormat/>
    <w:rsid w:val="00351C2D"/>
    <w:pPr>
      <w:outlineLvl w:val="5"/>
    </w:pPr>
    <w:rPr>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Title">
    <w:name w:val="Title"/>
    <w:basedOn w:val="Normal"/>
    <w:next w:val="BodyText"/>
    <w:qFormat/>
    <w:pPr>
      <w:spacing w:line="264" w:lineRule="auto"/>
      <w:outlineLvl w:val="0"/>
    </w:pPr>
    <w:rPr>
      <w:rFonts w:cs="Arial"/>
      <w:b/>
      <w:bCs/>
      <w:color w:val="330066"/>
      <w:kern w:val="28"/>
      <w:sz w:val="40"/>
      <w:szCs w:val="32"/>
    </w:rPr>
  </w:style>
  <w:style w:type="paragraph" w:styleId="ListBullet">
    <w:name w:val="List Bullet"/>
    <w:basedOn w:val="BodyText"/>
    <w:rsid w:val="00351C2D"/>
    <w:pPr>
      <w:numPr>
        <w:numId w:val="27"/>
      </w:numPr>
      <w:tabs>
        <w:tab w:val="clear" w:pos="510"/>
        <w:tab w:val="left" w:pos="340"/>
      </w:tabs>
      <w:ind w:left="340" w:hanging="340"/>
    </w:pPr>
  </w:style>
  <w:style w:type="paragraph" w:styleId="ListNumber">
    <w:name w:val="List Number"/>
    <w:basedOn w:val="BodyText"/>
    <w:rsid w:val="00337C6B"/>
    <w:pPr>
      <w:tabs>
        <w:tab w:val="left" w:pos="737"/>
      </w:tabs>
    </w:pPr>
  </w:style>
  <w:style w:type="paragraph" w:styleId="Footer">
    <w:name w:val="footer"/>
    <w:basedOn w:val="Normal"/>
    <w:pPr>
      <w:tabs>
        <w:tab w:val="center" w:pos="4153"/>
        <w:tab w:val="right" w:pos="8306"/>
      </w:tabs>
    </w:pPr>
  </w:style>
  <w:style w:type="character" w:styleId="PageNumber">
    <w:name w:val="page number"/>
    <w:basedOn w:val="DefaultParagraphFont"/>
    <w:rsid w:val="00930767"/>
    <w:rPr>
      <w:rFonts w:ascii="Verdana" w:hAnsi="Verdana"/>
      <w:b/>
      <w:sz w:val="21"/>
    </w:rPr>
  </w:style>
  <w:style w:type="paragraph" w:styleId="FootnoteText">
    <w:name w:val="footnote text"/>
    <w:basedOn w:val="Normal"/>
    <w:rsid w:val="00930767"/>
    <w:pPr>
      <w:spacing w:after="0" w:afterAutospacing="0" w:line="240" w:lineRule="auto"/>
      <w:ind w:left="113" w:hanging="113"/>
    </w:pPr>
    <w:rPr>
      <w:sz w:val="18"/>
      <w:szCs w:val="20"/>
    </w:rPr>
  </w:style>
  <w:style w:type="character" w:styleId="FootnoteReference">
    <w:name w:val="footnote reference"/>
    <w:basedOn w:val="DefaultParagraphFont"/>
    <w:rsid w:val="00930767"/>
    <w:rPr>
      <w:rFonts w:ascii="Verdana" w:hAnsi="Verdana"/>
      <w:b/>
      <w:sz w:val="21"/>
      <w:vertAlign w:val="superscript"/>
    </w:rPr>
  </w:style>
  <w:style w:type="paragraph" w:styleId="TOC1">
    <w:name w:val="toc 1"/>
    <w:basedOn w:val="BodyText"/>
    <w:next w:val="Normal"/>
    <w:semiHidden/>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pPr>
      <w:numPr>
        <w:numId w:val="9"/>
      </w:numPr>
      <w:spacing w:after="200"/>
    </w:pPr>
  </w:style>
  <w:style w:type="paragraph" w:customStyle="1" w:styleId="ListNumberspaced">
    <w:name w:val="List Number spaced"/>
    <w:basedOn w:val="ListNumber"/>
    <w:rsid w:val="00337C6B"/>
    <w:pPr>
      <w:spacing w:after="240" w:afterAutospacing="0"/>
    </w:pPr>
  </w:style>
  <w:style w:type="paragraph" w:styleId="BodyText">
    <w:name w:val="Body Text"/>
    <w:basedOn w:val="Normal"/>
    <w:link w:val="BodyTextChar"/>
  </w:style>
  <w:style w:type="paragraph" w:customStyle="1" w:styleId="Subject">
    <w:name w:val="Subject"/>
    <w:basedOn w:val="Normal"/>
    <w:rsid w:val="009E5CA5"/>
    <w:pPr>
      <w:overflowPunct w:val="0"/>
      <w:autoSpaceDE w:val="0"/>
      <w:autoSpaceDN w:val="0"/>
      <w:adjustRightInd w:val="0"/>
      <w:spacing w:before="120" w:after="240" w:afterAutospacing="0"/>
      <w:textAlignment w:val="baseline"/>
    </w:pPr>
    <w:rPr>
      <w:b/>
      <w:color w:val="330066"/>
      <w:sz w:val="24"/>
      <w:szCs w:val="21"/>
    </w:rPr>
  </w:style>
  <w:style w:type="paragraph" w:customStyle="1" w:styleId="ccenc">
    <w:name w:val="cc/enc"/>
    <w:basedOn w:val="Normal"/>
    <w:rsid w:val="008821BD"/>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rPr>
      <w:rFonts w:ascii="Verdana" w:hAnsi="Verdana"/>
      <w:b/>
      <w:color w:val="FF1F8F"/>
      <w:sz w:val="21"/>
      <w:u w:val="none"/>
    </w:rPr>
  </w:style>
  <w:style w:type="character" w:styleId="FollowedHyperlink">
    <w:name w:val="FollowedHyperlink"/>
    <w:basedOn w:val="DefaultParagraphFont"/>
    <w:rPr>
      <w:rFonts w:ascii="Verdana" w:hAnsi="Verdana"/>
      <w:b/>
      <w:color w:val="FF1F8F"/>
      <w:sz w:val="21"/>
      <w:u w:val="none"/>
    </w:rPr>
  </w:style>
  <w:style w:type="paragraph" w:styleId="Salutation">
    <w:name w:val="Salutation"/>
    <w:basedOn w:val="Normal"/>
    <w:next w:val="Normal"/>
    <w:rsid w:val="008821BD"/>
    <w:pPr>
      <w:tabs>
        <w:tab w:val="left" w:pos="0"/>
      </w:tabs>
      <w:overflowPunct w:val="0"/>
      <w:autoSpaceDE w:val="0"/>
      <w:autoSpaceDN w:val="0"/>
      <w:adjustRightInd w:val="0"/>
      <w:spacing w:before="120" w:after="120" w:afterAutospacing="0"/>
      <w:textAlignment w:val="baseline"/>
    </w:pPr>
    <w:rPr>
      <w:szCs w:val="21"/>
    </w:rPr>
  </w:style>
  <w:style w:type="paragraph" w:styleId="EndnoteText">
    <w:name w:val="endnote text"/>
    <w:basedOn w:val="Normal"/>
    <w:rsid w:val="00930767"/>
    <w:pPr>
      <w:spacing w:after="0" w:afterAutospacing="0"/>
    </w:pPr>
    <w:rPr>
      <w:sz w:val="18"/>
      <w:szCs w:val="20"/>
    </w:rPr>
  </w:style>
  <w:style w:type="character" w:styleId="EndnoteReference">
    <w:name w:val="endnote reference"/>
    <w:basedOn w:val="DefaultParagraphFont"/>
    <w:rsid w:val="00930767"/>
    <w:rPr>
      <w:rFonts w:ascii="Verdana" w:hAnsi="Verdana"/>
      <w:b/>
      <w:color w:val="330066"/>
      <w:sz w:val="21"/>
      <w:vertAlign w:val="superscript"/>
    </w:rPr>
  </w:style>
  <w:style w:type="paragraph" w:styleId="Date">
    <w:name w:val="Date"/>
    <w:basedOn w:val="Normal"/>
    <w:next w:val="Normal"/>
    <w:rsid w:val="008821BD"/>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821BD"/>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482376"/>
    <w:pPr>
      <w:ind w:left="737"/>
    </w:pPr>
  </w:style>
  <w:style w:type="table" w:styleId="TableGrid">
    <w:name w:val="Table Grid"/>
    <w:basedOn w:val="TableNormal"/>
    <w:rsid w:val="00930767"/>
    <w:pPr>
      <w:spacing w:after="100" w:afterAutospacing="1" w:line="312" w:lineRule="auto"/>
    </w:pPr>
    <w:rPr>
      <w:rFonts w:ascii="Verdana" w:hAnsi="Verdan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786E"/>
    <w:rPr>
      <w:sz w:val="16"/>
      <w:szCs w:val="16"/>
    </w:rPr>
  </w:style>
  <w:style w:type="paragraph" w:styleId="CommentText">
    <w:name w:val="annotation text"/>
    <w:basedOn w:val="Normal"/>
    <w:semiHidden/>
    <w:rsid w:val="00930767"/>
    <w:rPr>
      <w:szCs w:val="20"/>
    </w:rPr>
  </w:style>
  <w:style w:type="paragraph" w:styleId="CommentSubject">
    <w:name w:val="annotation subject"/>
    <w:basedOn w:val="CommentText"/>
    <w:next w:val="CommentText"/>
    <w:semiHidden/>
    <w:rsid w:val="00930767"/>
    <w:rPr>
      <w:b/>
      <w:bCs/>
    </w:rPr>
  </w:style>
  <w:style w:type="paragraph" w:styleId="BalloonText">
    <w:name w:val="Balloon Text"/>
    <w:basedOn w:val="Normal"/>
    <w:semiHidden/>
    <w:rsid w:val="0078786E"/>
    <w:rPr>
      <w:rFonts w:ascii="Tahoma" w:hAnsi="Tahoma" w:cs="Tahoma"/>
      <w:sz w:val="16"/>
      <w:szCs w:val="16"/>
    </w:rPr>
  </w:style>
  <w:style w:type="paragraph" w:customStyle="1" w:styleId="BodyTextNotSpaced">
    <w:name w:val="Body Text Not Spaced"/>
    <w:basedOn w:val="BodyText"/>
    <w:rsid w:val="007C1EB3"/>
    <w:pPr>
      <w:spacing w:after="0" w:afterAutospacing="0" w:line="300" w:lineRule="exact"/>
    </w:pPr>
    <w:rPr>
      <w:rFonts w:ascii="Lucida Sans" w:hAnsi="Lucida Sans"/>
      <w:sz w:val="20"/>
    </w:rPr>
  </w:style>
  <w:style w:type="paragraph" w:customStyle="1" w:styleId="LineSpace">
    <w:name w:val="Line Space"/>
    <w:basedOn w:val="Normal"/>
    <w:rsid w:val="007C1EB3"/>
    <w:pPr>
      <w:spacing w:after="0" w:afterAutospacing="0" w:line="240" w:lineRule="exact"/>
    </w:pPr>
    <w:rPr>
      <w:rFonts w:ascii="Lucida Sans" w:hAnsi="Lucida Sans"/>
      <w:noProof/>
      <w:sz w:val="20"/>
      <w:lang w:val="en-US"/>
    </w:rPr>
  </w:style>
  <w:style w:type="character" w:customStyle="1" w:styleId="BodyTextChar">
    <w:name w:val="Body Text Char"/>
    <w:basedOn w:val="DefaultParagraphFont"/>
    <w:link w:val="BodyText"/>
    <w:rsid w:val="00A87B91"/>
    <w:rPr>
      <w:rFonts w:ascii="Verdana" w:hAnsi="Verdana"/>
      <w:sz w:val="21"/>
      <w:szCs w:val="24"/>
      <w:lang w:eastAsia="en-US"/>
    </w:rPr>
  </w:style>
  <w:style w:type="paragraph" w:customStyle="1" w:styleId="HSBriefing">
    <w:name w:val="H&amp;S Briefing"/>
    <w:basedOn w:val="Normal"/>
    <w:rsid w:val="001204EE"/>
    <w:pPr>
      <w:widowControl w:val="0"/>
      <w:autoSpaceDE w:val="0"/>
      <w:autoSpaceDN w:val="0"/>
      <w:adjustRightInd w:val="0"/>
      <w:spacing w:after="0" w:afterAutospacing="0" w:line="240" w:lineRule="auto"/>
    </w:pPr>
    <w:rPr>
      <w:noProof/>
      <w:sz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radiation/nonionising/whiteboards.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rchive.nationalarchives.gov.uk/20101102103654/http:/www.becta.org.uk" TargetMode="External"/><Relationship Id="rId12" Type="http://schemas.openxmlformats.org/officeDocument/2006/relationships/hyperlink" Target="https://owa.ucu.org.uk/owa/redir.aspx?C=a49585688d6240428bf4c40ea8a1163a&amp;URL=http%3a%2f%2fwww.hse.gov.uk%2fpubns%2fbooks%2fl22.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oc.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oc.co.uk/Members/health_safety/briefings04/health_safety_15_04/view" TargetMode="External"/><Relationship Id="rId4" Type="http://schemas.openxmlformats.org/officeDocument/2006/relationships/webSettings" Target="webSettings.xml"/><Relationship Id="rId9" Type="http://schemas.openxmlformats.org/officeDocument/2006/relationships/hyperlink" Target="https://owa.ucu.org.uk/owa/redir.aspx?C=a49585688d6240428bf4c40ea8a1163a&amp;URL=http%3a%2f%2fwww.teachers.org.uk%2ffiles%2fcomputer-safety.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UCU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UCU_Blank</Template>
  <TotalTime>3</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UCU</Company>
  <LinksUpToDate>false</LinksUpToDate>
  <CharactersWithSpaces>7420</CharactersWithSpaces>
  <SharedDoc>false</SharedDoc>
  <HLinks>
    <vt:vector size="36" baseType="variant">
      <vt:variant>
        <vt:i4>5439504</vt:i4>
      </vt:variant>
      <vt:variant>
        <vt:i4>15</vt:i4>
      </vt:variant>
      <vt:variant>
        <vt:i4>0</vt:i4>
      </vt:variant>
      <vt:variant>
        <vt:i4>5</vt:i4>
      </vt:variant>
      <vt:variant>
        <vt:lpwstr>https://owa.ucu.org.uk/owa/redir.aspx?C=79a5ff627ff04daba6694d5e0614afb0&amp;URL=http%3a%2f%2fwww.teachers.org.uk%2fnode%2f12581</vt:lpwstr>
      </vt:variant>
      <vt:variant>
        <vt:lpwstr/>
      </vt:variant>
      <vt:variant>
        <vt:i4>5636184</vt:i4>
      </vt:variant>
      <vt:variant>
        <vt:i4>12</vt:i4>
      </vt:variant>
      <vt:variant>
        <vt:i4>0</vt:i4>
      </vt:variant>
      <vt:variant>
        <vt:i4>5</vt:i4>
      </vt:variant>
      <vt:variant>
        <vt:lpwstr>https://owa.ucu.org.uk/owa/redir.aspx?C=79a5ff627ff04daba6694d5e0614afb0&amp;URL=http%3a%2f%2fwww.unison.org.uk%2facrobat%2f19465.pdf</vt:lpwstr>
      </vt:variant>
      <vt:variant>
        <vt:lpwstr/>
      </vt:variant>
      <vt:variant>
        <vt:i4>1507397</vt:i4>
      </vt:variant>
      <vt:variant>
        <vt:i4>9</vt:i4>
      </vt:variant>
      <vt:variant>
        <vt:i4>0</vt:i4>
      </vt:variant>
      <vt:variant>
        <vt:i4>5</vt:i4>
      </vt:variant>
      <vt:variant>
        <vt:lpwstr>https://owa.ucu.org.uk/owa/redir.aspx?C=79a5ff627ff04daba6694d5e0614afb0&amp;URL=http%3a%2f%2fwww.tuc.org.uk%2fextras%2finsbooklet30auglowres.pdf</vt:lpwstr>
      </vt:variant>
      <vt:variant>
        <vt:lpwstr/>
      </vt:variant>
      <vt:variant>
        <vt:i4>3407906</vt:i4>
      </vt:variant>
      <vt:variant>
        <vt:i4>6</vt:i4>
      </vt:variant>
      <vt:variant>
        <vt:i4>0</vt:i4>
      </vt:variant>
      <vt:variant>
        <vt:i4>5</vt:i4>
      </vt:variant>
      <vt:variant>
        <vt:lpwstr>https://owa.ucu.org.uk/owa/redir.aspx?C=79a5ff627ff04daba6694d5e0614afb0&amp;URL=http%3a%2f%2fwww.ucu.org.uk%2findex.cfm%3farticleid%3d2424</vt:lpwstr>
      </vt:variant>
      <vt:variant>
        <vt:lpwstr/>
      </vt:variant>
      <vt:variant>
        <vt:i4>2097170</vt:i4>
      </vt:variant>
      <vt:variant>
        <vt:i4>3</vt:i4>
      </vt:variant>
      <vt:variant>
        <vt:i4>0</vt:i4>
      </vt:variant>
      <vt:variant>
        <vt:i4>5</vt:i4>
      </vt:variant>
      <vt:variant>
        <vt:lpwstr>https://owa.ucu.org.uk/owa/redir.aspx?C=79a5ff627ff04daba6694d5e0614afb0&amp;URL=http%3a%2f%2fwww.ucu.org.uk%2fmedia%2fdocs%2f6%2fn%2fDoing_your_first_inspection.doc</vt:lpwstr>
      </vt:variant>
      <vt:variant>
        <vt:lpwstr/>
      </vt:variant>
      <vt:variant>
        <vt:i4>1179648</vt:i4>
      </vt:variant>
      <vt:variant>
        <vt:i4>0</vt:i4>
      </vt:variant>
      <vt:variant>
        <vt:i4>0</vt:i4>
      </vt:variant>
      <vt:variant>
        <vt:i4>5</vt:i4>
      </vt:variant>
      <vt:variant>
        <vt:lpwstr>https://owa.ucu.org.uk/owa/redir.aspx?C=79a5ff627ff04daba6694d5e0614afb0&amp;URL=http%3a%2f%2fwww.ucu.org.uk%2fmedia%2fdocs%2f7%2fd%2fhsfact_workinspect_approach.doc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 Fotherby</dc:creator>
  <cp:lastModifiedBy>jtaylor</cp:lastModifiedBy>
  <cp:revision>2</cp:revision>
  <cp:lastPrinted>2006-07-27T09:56:00Z</cp:lastPrinted>
  <dcterms:created xsi:type="dcterms:W3CDTF">2011-09-30T15:13:00Z</dcterms:created>
  <dcterms:modified xsi:type="dcterms:W3CDTF">2011-09-30T15:13:00Z</dcterms:modified>
</cp:coreProperties>
</file>