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4BA62" w14:textId="0AF81F73" w:rsidR="003E643A" w:rsidRDefault="003E643A" w:rsidP="003E643A">
      <w:pPr>
        <w:pStyle w:val="Heading1"/>
      </w:pPr>
      <w:r w:rsidRPr="003B3571">
        <w:t xml:space="preserve">Gender </w:t>
      </w:r>
      <w:r>
        <w:t>identity: awareness and actions for equality</w:t>
      </w:r>
    </w:p>
    <w:p w14:paraId="0467D861" w14:textId="77777777" w:rsidR="00720FD7" w:rsidRDefault="00720FD7" w:rsidP="00720FD7">
      <w:pPr>
        <w:pStyle w:val="BodyText"/>
        <w:rPr>
          <w:b/>
        </w:rPr>
      </w:pPr>
      <w:r w:rsidRPr="00720FD7">
        <w:t xml:space="preserve">The purpose of this briefing is to raise awareness about gender identity. The briefing covers what is meant by gender identity, including the protected characteristic gender reassignment. The briefing also identifies actions that UCU branches can call for employers to take in promoting and advancing equality for trans and non-binary people in the workplace. </w:t>
      </w:r>
    </w:p>
    <w:p w14:paraId="6C9CD630" w14:textId="498EBFFB" w:rsidR="003E643A" w:rsidRPr="00C82838" w:rsidRDefault="003E643A" w:rsidP="0042708A">
      <w:pPr>
        <w:pStyle w:val="Heading2"/>
      </w:pPr>
      <w:r w:rsidRPr="00C82838">
        <w:t xml:space="preserve">What is </w:t>
      </w:r>
      <w:r>
        <w:t>gender identity</w:t>
      </w:r>
      <w:r w:rsidRPr="00C82838">
        <w:t>?</w:t>
      </w:r>
    </w:p>
    <w:p w14:paraId="7471AF6E" w14:textId="77777777" w:rsidR="00720FD7" w:rsidRDefault="00720FD7" w:rsidP="00720FD7">
      <w:pPr>
        <w:pStyle w:val="ListNumber"/>
      </w:pPr>
      <w:r>
        <w:t xml:space="preserve">Gender identity is how a person identifies their gender. UCU supports gender identity as the way a person self-defines their gender. This may match the sex registered at birth (i.e. man – male, woman – female) or not. </w:t>
      </w:r>
    </w:p>
    <w:p w14:paraId="48640D97" w14:textId="77777777" w:rsidR="00720FD7" w:rsidRDefault="00720FD7" w:rsidP="00720FD7">
      <w:pPr>
        <w:pStyle w:val="ListNumber"/>
      </w:pPr>
      <w:r>
        <w:t xml:space="preserve">Trans and non-binary are terms most often used to refer to people who identify their gender as different to the sex registered at birth. </w:t>
      </w:r>
    </w:p>
    <w:p w14:paraId="416A32CC" w14:textId="77777777" w:rsidR="00720FD7" w:rsidRDefault="00720FD7" w:rsidP="00720FD7">
      <w:pPr>
        <w:pStyle w:val="ListNumber"/>
      </w:pPr>
      <w:r>
        <w:t>There are many terms for non-binary gender such as agender and genderqueer, and people will identify themselves according to the term that most closely captures their identity.</w:t>
      </w:r>
    </w:p>
    <w:p w14:paraId="222B86E4" w14:textId="77777777" w:rsidR="00720FD7" w:rsidRDefault="00720FD7" w:rsidP="00720FD7">
      <w:pPr>
        <w:pStyle w:val="ListNumber"/>
      </w:pPr>
      <w:r>
        <w:t xml:space="preserve">Non-binary people </w:t>
      </w:r>
      <w:r w:rsidRPr="003B3571">
        <w:t>do not identify with the binary gender categories of ma</w:t>
      </w:r>
      <w:r>
        <w:t>n</w:t>
      </w:r>
      <w:r w:rsidRPr="003B3571">
        <w:t xml:space="preserve"> and </w:t>
      </w:r>
      <w:r>
        <w:t>woman. Non-binary people may also not identify as trans.</w:t>
      </w:r>
    </w:p>
    <w:p w14:paraId="7AE296F1" w14:textId="77777777" w:rsidR="00720FD7" w:rsidRDefault="00720FD7" w:rsidP="00720FD7">
      <w:pPr>
        <w:pStyle w:val="ListNumber"/>
      </w:pPr>
      <w:r>
        <w:t>Trans people can identify with either of the gender binaries, and also as non-binary.</w:t>
      </w:r>
    </w:p>
    <w:p w14:paraId="1FC93DD6" w14:textId="5AD565EA" w:rsidR="003E643A" w:rsidRPr="00C82838" w:rsidRDefault="003E643A" w:rsidP="0042708A">
      <w:pPr>
        <w:pStyle w:val="Heading2"/>
      </w:pPr>
      <w:r>
        <w:t>Gender identity and the Equality Act 2010 and other law</w:t>
      </w:r>
      <w:r w:rsidR="00720FD7">
        <w:t>s</w:t>
      </w:r>
    </w:p>
    <w:p w14:paraId="06560959" w14:textId="23B0C497" w:rsidR="003E643A" w:rsidRDefault="00720FD7" w:rsidP="003E643A">
      <w:pPr>
        <w:pStyle w:val="ListNumber"/>
      </w:pPr>
      <w:r w:rsidRPr="003B3571">
        <w:t xml:space="preserve">People who </w:t>
      </w:r>
      <w:r>
        <w:t>decide to spend the rest of their life in a gender other than the one that matches the sex registered at birth</w:t>
      </w:r>
      <w:r w:rsidRPr="003B3571">
        <w:t xml:space="preserve"> are covered by the Equality Act</w:t>
      </w:r>
      <w:r>
        <w:t xml:space="preserve"> 2010</w:t>
      </w:r>
      <w:r w:rsidRPr="003B3571">
        <w:t xml:space="preserve"> under the protected characteristic </w:t>
      </w:r>
      <w:r>
        <w:t xml:space="preserve">of </w:t>
      </w:r>
      <w:r w:rsidRPr="003B3571">
        <w:t>gender reassignment</w:t>
      </w:r>
      <w:r w:rsidR="003E643A" w:rsidRPr="003B3571">
        <w:t>.</w:t>
      </w:r>
      <w:r w:rsidR="003E643A">
        <w:rPr>
          <w:rStyle w:val="FootnoteReference"/>
        </w:rPr>
        <w:footnoteReference w:id="1"/>
      </w:r>
      <w:r w:rsidR="003E643A" w:rsidRPr="003B3571">
        <w:t xml:space="preserve"> </w:t>
      </w:r>
    </w:p>
    <w:p w14:paraId="6766D256" w14:textId="618C1C75" w:rsidR="00720FD7" w:rsidRDefault="00720FD7" w:rsidP="00720FD7">
      <w:pPr>
        <w:pStyle w:val="ListNumber"/>
      </w:pPr>
      <w:r>
        <w:t>People who are assumed/perceived to be living in a gender that does not match with the sex registered at birth are also covered by the Equality Act 2010.</w:t>
      </w:r>
    </w:p>
    <w:p w14:paraId="0F7E1CCD" w14:textId="77777777" w:rsidR="00720FD7" w:rsidRDefault="00720FD7" w:rsidP="00720FD7">
      <w:pPr>
        <w:pStyle w:val="ListNumber"/>
      </w:pPr>
      <w:r>
        <w:t xml:space="preserve">A person covered by the gender reassignment protected characteristic may or may not have had any surgery, may or may not be under medical supervision, and may or may not have any documents in the gender that they are living in. </w:t>
      </w:r>
    </w:p>
    <w:p w14:paraId="742391A7" w14:textId="77777777" w:rsidR="00720FD7" w:rsidRPr="00970D9A" w:rsidRDefault="00720FD7" w:rsidP="00720FD7">
      <w:pPr>
        <w:pStyle w:val="ListNumber"/>
      </w:pPr>
      <w:r>
        <w:lastRenderedPageBreak/>
        <w:t>From the time a person decides to live in the gender other than that which matches the sex registered at their birth they</w:t>
      </w:r>
      <w:r w:rsidRPr="003B3571">
        <w:t xml:space="preserve"> should be treated </w:t>
      </w:r>
      <w:r>
        <w:t xml:space="preserve">in accordance </w:t>
      </w:r>
      <w:r w:rsidRPr="003B3571">
        <w:t>with th</w:t>
      </w:r>
      <w:r>
        <w:t>at</w:t>
      </w:r>
      <w:r w:rsidRPr="003B3571">
        <w:t xml:space="preserve"> gender identit</w:t>
      </w:r>
      <w:r>
        <w:t xml:space="preserve">y. </w:t>
      </w:r>
    </w:p>
    <w:p w14:paraId="1397A1D1" w14:textId="77777777" w:rsidR="00720FD7" w:rsidRPr="00383432" w:rsidRDefault="00720FD7" w:rsidP="00720FD7">
      <w:pPr>
        <w:pStyle w:val="ListNumber"/>
      </w:pPr>
      <w:r>
        <w:t>Anyone in the UK can change their name and use whichever name they choose provided this is not to defraud anyone. There is no legal requirement to provide written evidence of the name change</w:t>
      </w:r>
      <w:r>
        <w:rPr>
          <w:rStyle w:val="FootnoteReference"/>
        </w:rPr>
        <w:footnoteReference w:id="2"/>
      </w:r>
      <w:r>
        <w:t xml:space="preserve">. </w:t>
      </w:r>
    </w:p>
    <w:p w14:paraId="3B278300" w14:textId="6B9647BC" w:rsidR="00720FD7" w:rsidRDefault="00720FD7" w:rsidP="00720FD7">
      <w:pPr>
        <w:pStyle w:val="ListNumber"/>
      </w:pPr>
      <w:r w:rsidRPr="003B3571">
        <w:t xml:space="preserve">A key concept in gender identity equality is respect. </w:t>
      </w:r>
      <w:r>
        <w:t>Respect is crucial to supporting trans and non-binary people. This includes r</w:t>
      </w:r>
      <w:r w:rsidRPr="003B3571">
        <w:t>espect for people</w:t>
      </w:r>
      <w:r>
        <w:t>'</w:t>
      </w:r>
      <w:r w:rsidRPr="003B3571">
        <w:t xml:space="preserve">s gender identity, for their right to work or study with dignity, for their name, preferred use of pronoun, and personal identity, for their privacy and confidentiality. </w:t>
      </w:r>
    </w:p>
    <w:p w14:paraId="75D97A0D" w14:textId="77777777" w:rsidR="00720FD7" w:rsidRPr="00383432" w:rsidRDefault="00720FD7" w:rsidP="00720FD7">
      <w:pPr>
        <w:pStyle w:val="ListNumber"/>
      </w:pPr>
      <w:r>
        <w:t xml:space="preserve">Under UK law people can change all their documents to recognise the gender they are living in, other than birth certificates. A Gender Recognition Certificate is required to change the birth certificate. </w:t>
      </w:r>
    </w:p>
    <w:p w14:paraId="332C49DF" w14:textId="797BC174" w:rsidR="00720FD7" w:rsidRDefault="00720FD7" w:rsidP="00720FD7">
      <w:pPr>
        <w:pStyle w:val="ListNumber"/>
      </w:pPr>
      <w:r w:rsidRPr="003B3571">
        <w:t>It is a criminal offence to pass on information about a trans person</w:t>
      </w:r>
      <w:r>
        <w:t>'</w:t>
      </w:r>
      <w:r w:rsidRPr="003B3571">
        <w:t xml:space="preserve">s </w:t>
      </w:r>
      <w:r>
        <w:t xml:space="preserve">legal </w:t>
      </w:r>
      <w:r w:rsidRPr="003B3571">
        <w:t>gender recognition without their consent.</w:t>
      </w:r>
    </w:p>
    <w:p w14:paraId="77E9C874" w14:textId="77777777" w:rsidR="003E643A" w:rsidRPr="00383432" w:rsidRDefault="003E643A" w:rsidP="0042708A">
      <w:pPr>
        <w:pStyle w:val="Heading2"/>
      </w:pPr>
      <w:r w:rsidRPr="00383432">
        <w:t xml:space="preserve">What </w:t>
      </w:r>
      <w:r w:rsidR="009F0543">
        <w:t>should employers be doing</w:t>
      </w:r>
      <w:r w:rsidRPr="00383432">
        <w:t>?</w:t>
      </w:r>
    </w:p>
    <w:p w14:paraId="1BE7B74A" w14:textId="77777777" w:rsidR="00720FD7" w:rsidRPr="00383432" w:rsidRDefault="00720FD7" w:rsidP="00720FD7">
      <w:pPr>
        <w:pStyle w:val="ListNumber"/>
      </w:pPr>
      <w:r w:rsidRPr="003B3571">
        <w:t xml:space="preserve">Education providers in </w:t>
      </w:r>
      <w:r>
        <w:t xml:space="preserve">the </w:t>
      </w:r>
      <w:r w:rsidRPr="003B3571">
        <w:t>post-school education sector</w:t>
      </w:r>
      <w:r>
        <w:t xml:space="preserve"> </w:t>
      </w:r>
      <w:r w:rsidRPr="003B3571">
        <w:t>have a legal duty under the Equality Act 2010</w:t>
      </w:r>
      <w:r>
        <w:rPr>
          <w:rStyle w:val="FootnoteReference"/>
        </w:rPr>
        <w:footnoteReference w:id="3"/>
      </w:r>
      <w:r w:rsidRPr="003B3571">
        <w:t xml:space="preserve"> to take active steps to prevent discrimination and harassment on </w:t>
      </w:r>
      <w:r>
        <w:t xml:space="preserve">the </w:t>
      </w:r>
      <w:r w:rsidRPr="003B3571">
        <w:t xml:space="preserve">grounds of </w:t>
      </w:r>
      <w:r>
        <w:t xml:space="preserve">protected characteristics including </w:t>
      </w:r>
      <w:r w:rsidRPr="003B3571">
        <w:t>gender reassignment</w:t>
      </w:r>
      <w:r>
        <w:t xml:space="preserve">. </w:t>
      </w:r>
    </w:p>
    <w:p w14:paraId="07EEC5C1" w14:textId="04722B82" w:rsidR="00720FD7" w:rsidRPr="00383432" w:rsidRDefault="00720FD7" w:rsidP="00720FD7">
      <w:pPr>
        <w:pStyle w:val="ListNumber"/>
      </w:pPr>
      <w:r>
        <w:t>The public sector equality duty of the Equality Act 2010 applies to all organisations that carry out a public function.</w:t>
      </w:r>
      <w:r>
        <w:rPr>
          <w:rStyle w:val="FootnoteReference"/>
        </w:rPr>
        <w:footnoteReference w:id="4"/>
      </w:r>
      <w:r>
        <w:t xml:space="preserve"> this includes organisations </w:t>
      </w:r>
      <w:r w:rsidRPr="00971400">
        <w:t xml:space="preserve">in the post-school education sector. Section 3 of the public sector equality duty requires employers to demonstrate due regard for equality in all </w:t>
      </w:r>
      <w:r>
        <w:t>functions and day-to-day activities of the organisation.</w:t>
      </w:r>
      <w:r>
        <w:rPr>
          <w:rStyle w:val="FootnoteReference"/>
        </w:rPr>
        <w:footnoteReference w:id="5"/>
      </w:r>
      <w:r>
        <w:t xml:space="preserve"> This duty covers all protected characteristics including gender reassignment. </w:t>
      </w:r>
    </w:p>
    <w:p w14:paraId="6E252725" w14:textId="327A5134" w:rsidR="00720FD7" w:rsidRPr="00383432" w:rsidRDefault="00720FD7" w:rsidP="00720FD7">
      <w:pPr>
        <w:pStyle w:val="ListNumber"/>
      </w:pPr>
      <w:r>
        <w:t xml:space="preserve">Equality Impact Assessments (EIAs) 'are </w:t>
      </w:r>
      <w:r w:rsidRPr="00177B1A">
        <w:t>not required by law, although are a way of facilitating and evidencing compliance with the Public Sector Equality Duty.</w:t>
      </w:r>
      <w:r>
        <w:t xml:space="preserve">' </w:t>
      </w:r>
      <w:r>
        <w:rPr>
          <w:rStyle w:val="FootnoteReference"/>
        </w:rPr>
        <w:footnoteReference w:id="6"/>
      </w:r>
      <w:r>
        <w:t xml:space="preserve"> </w:t>
      </w:r>
    </w:p>
    <w:p w14:paraId="225BB2D3" w14:textId="77777777" w:rsidR="00720FD7" w:rsidRPr="00383432" w:rsidRDefault="00720FD7" w:rsidP="00720FD7">
      <w:pPr>
        <w:pStyle w:val="ListNumber"/>
      </w:pPr>
      <w:r w:rsidRPr="003B3571">
        <w:t>Education providers should have specific policies and proc</w:t>
      </w:r>
      <w:r>
        <w:t>ess</w:t>
      </w:r>
      <w:r w:rsidRPr="003B3571">
        <w:t>es to support staff and students</w:t>
      </w:r>
      <w:r>
        <w:t xml:space="preserve"> covered by the gender reassignment protected characteristic</w:t>
      </w:r>
      <w:r w:rsidRPr="003B3571">
        <w:t>, including</w:t>
      </w:r>
      <w:r>
        <w:t xml:space="preserve"> support for directly related hospital appointments and medical procedures for</w:t>
      </w:r>
      <w:r w:rsidRPr="003B3571">
        <w:t xml:space="preserve"> those </w:t>
      </w:r>
      <w:r w:rsidRPr="003B3571">
        <w:lastRenderedPageBreak/>
        <w:t xml:space="preserve">undergoing the </w:t>
      </w:r>
      <w:r>
        <w:t xml:space="preserve">medical </w:t>
      </w:r>
      <w:r w:rsidRPr="003B3571">
        <w:t>process of gender reassignment</w:t>
      </w:r>
      <w:r>
        <w:t xml:space="preserve">, as well as policies for name and gender record alteration. </w:t>
      </w:r>
    </w:p>
    <w:p w14:paraId="32E81036" w14:textId="77777777" w:rsidR="00720FD7" w:rsidRDefault="00720FD7" w:rsidP="00720FD7">
      <w:pPr>
        <w:pStyle w:val="ListNumber"/>
      </w:pPr>
      <w:r w:rsidRPr="003B3571">
        <w:t>Equal opportunities, recruitment and anti-bullying and harassment policies should make specific reference to gender reassignment, and it would be good practice to broaden that to gender identity equality</w:t>
      </w:r>
      <w:r>
        <w:t>.</w:t>
      </w:r>
    </w:p>
    <w:p w14:paraId="0BC2AD01" w14:textId="77777777" w:rsidR="00720FD7" w:rsidRDefault="00720FD7" w:rsidP="00720FD7">
      <w:pPr>
        <w:pStyle w:val="ListNumber"/>
      </w:pPr>
      <w:r w:rsidRPr="003B3571">
        <w:t>Gender identity equality should be included in all induction and training, including staff and student handbooks</w:t>
      </w:r>
      <w:r>
        <w:t>.</w:t>
      </w:r>
    </w:p>
    <w:p w14:paraId="49A9EAC8" w14:textId="77777777" w:rsidR="003E643A" w:rsidRPr="0042708A" w:rsidRDefault="003E643A" w:rsidP="0042708A">
      <w:pPr>
        <w:pStyle w:val="Heading2"/>
      </w:pPr>
      <w:r>
        <w:t xml:space="preserve">Equality </w:t>
      </w:r>
      <w:r w:rsidR="009F0543">
        <w:t>monitoring</w:t>
      </w:r>
    </w:p>
    <w:p w14:paraId="1CCC8B31" w14:textId="77777777" w:rsidR="00720FD7" w:rsidRPr="00720FD7" w:rsidRDefault="00720FD7" w:rsidP="00720FD7">
      <w:pPr>
        <w:pStyle w:val="ListNumber"/>
      </w:pPr>
      <w:r w:rsidRPr="00720FD7">
        <w:t>Monitoring should be anonymised and confidential.</w:t>
      </w:r>
    </w:p>
    <w:p w14:paraId="6E049AE8" w14:textId="77777777" w:rsidR="00720FD7" w:rsidRPr="00720FD7" w:rsidRDefault="00720FD7" w:rsidP="00720FD7">
      <w:pPr>
        <w:pStyle w:val="ListNumber"/>
      </w:pPr>
      <w:r w:rsidRPr="00720FD7">
        <w:t>Gender monitoring questions can be asked in the format of woman, man, other (with a free text box so that a person can identify using their own terms).</w:t>
      </w:r>
    </w:p>
    <w:p w14:paraId="41B7BAC1" w14:textId="77777777" w:rsidR="00720FD7" w:rsidRPr="00720FD7" w:rsidRDefault="00720FD7" w:rsidP="00720FD7">
      <w:pPr>
        <w:pStyle w:val="ListNumber"/>
      </w:pPr>
      <w:r w:rsidRPr="00720FD7">
        <w:t xml:space="preserve">Sex monitoring questions can be asked using the terms female, male, other (with a free text box so that a person can identify using their own terms). This also allows for intersex people to self-identify. The Equality Act does not include intersex as a protected characteristic. </w:t>
      </w:r>
    </w:p>
    <w:p w14:paraId="590C21F7" w14:textId="64A26906" w:rsidR="00720FD7" w:rsidRPr="00720FD7" w:rsidRDefault="00720FD7" w:rsidP="00720FD7">
      <w:pPr>
        <w:pStyle w:val="ListNumber"/>
      </w:pPr>
      <w:r w:rsidRPr="00720FD7">
        <w:t>Including other and prefer not to say boxes can help an organisation avoid 'dead-naming' or misgendering a person who is covered by the gender reassignment protected characteristic but may not have completed their medical transition and</w:t>
      </w:r>
      <w:r>
        <w:t>/</w:t>
      </w:r>
      <w:r w:rsidRPr="00720FD7">
        <w:t xml:space="preserve">or fully updated their records in the organisation. </w:t>
      </w:r>
    </w:p>
    <w:p w14:paraId="417FDB78" w14:textId="57E32EE0" w:rsidR="00720FD7" w:rsidRPr="00720FD7" w:rsidRDefault="00720FD7" w:rsidP="00720FD7">
      <w:pPr>
        <w:pStyle w:val="ListNumber"/>
      </w:pPr>
      <w:r w:rsidRPr="00720FD7">
        <w:t xml:space="preserve">A question such as </w:t>
      </w:r>
      <w:r>
        <w:t>'</w:t>
      </w:r>
      <w:r w:rsidRPr="00720FD7">
        <w:t>does your gender identity match the sex registered at your birth?</w:t>
      </w:r>
      <w:r>
        <w:t>'</w:t>
      </w:r>
      <w:r w:rsidRPr="00720FD7">
        <w:t xml:space="preserve"> can be included for monitoring purposes. </w:t>
      </w:r>
    </w:p>
    <w:p w14:paraId="04CF43F7" w14:textId="77777777" w:rsidR="003E643A" w:rsidRPr="00FA120B" w:rsidRDefault="003E643A" w:rsidP="003E643A">
      <w:pPr>
        <w:pStyle w:val="BodyText"/>
      </w:pPr>
      <w:r w:rsidRPr="00FA120B">
        <w:t>It is recommended that to achieve the best results in gender identity equality educations institutions, students</w:t>
      </w:r>
      <w:r w:rsidR="009F0543">
        <w:t>'</w:t>
      </w:r>
      <w:r w:rsidRPr="00FA120B">
        <w:t xml:space="preserve"> unions and trade unions should</w:t>
      </w:r>
      <w:r w:rsidR="0042708A">
        <w:t>:</w:t>
      </w:r>
    </w:p>
    <w:p w14:paraId="1E6EFCFA" w14:textId="77777777" w:rsidR="003E643A" w:rsidRPr="009F0543" w:rsidRDefault="003E643A" w:rsidP="009F0543">
      <w:pPr>
        <w:pStyle w:val="ListBulletspaced"/>
        <w:numPr>
          <w:ilvl w:val="0"/>
          <w:numId w:val="16"/>
        </w:numPr>
      </w:pPr>
      <w:r w:rsidRPr="009F0543">
        <w:t>actively involve trans and non-binary staff and students</w:t>
      </w:r>
      <w:r w:rsidR="0042708A">
        <w:t>,</w:t>
      </w:r>
      <w:r w:rsidRPr="009F0543">
        <w:t xml:space="preserve"> and </w:t>
      </w:r>
    </w:p>
    <w:p w14:paraId="22EBB6AC" w14:textId="77777777" w:rsidR="003E643A" w:rsidRPr="009F0543" w:rsidRDefault="003E643A" w:rsidP="009F0543">
      <w:pPr>
        <w:pStyle w:val="ListBulletspaced"/>
        <w:numPr>
          <w:ilvl w:val="0"/>
          <w:numId w:val="16"/>
        </w:numPr>
      </w:pPr>
      <w:r w:rsidRPr="009F0543">
        <w:t>engage with local equality networks and national partner organisations</w:t>
      </w:r>
      <w:r w:rsidR="009F0543">
        <w:t>.</w:t>
      </w:r>
    </w:p>
    <w:p w14:paraId="47CBB2A2" w14:textId="77777777" w:rsidR="003E643A" w:rsidRPr="003B3571" w:rsidRDefault="003E643A" w:rsidP="003E643A">
      <w:pPr>
        <w:pStyle w:val="BodyText"/>
      </w:pPr>
      <w:r w:rsidRPr="003B3571">
        <w:t xml:space="preserve">For more information please contact Seth Atkin, UCU </w:t>
      </w:r>
      <w:r w:rsidR="009F0543">
        <w:t>equality support official</w:t>
      </w:r>
      <w:r w:rsidRPr="003B3571">
        <w:t xml:space="preserve">, </w:t>
      </w:r>
      <w:hyperlink r:id="rId7" w:history="1">
        <w:r w:rsidRPr="009F0543">
          <w:rPr>
            <w:rStyle w:val="Hyperlink"/>
          </w:rPr>
          <w:t>satkin@ucu.org.uk</w:t>
        </w:r>
      </w:hyperlink>
      <w:r w:rsidR="009F0543">
        <w:t>.</w:t>
      </w:r>
    </w:p>
    <w:p w14:paraId="6C90DBFF" w14:textId="77777777" w:rsidR="00DB2E3F" w:rsidRDefault="006C2178" w:rsidP="006C2178">
      <w:pPr>
        <w:tabs>
          <w:tab w:val="left" w:pos="2120"/>
        </w:tabs>
        <w:spacing w:after="0" w:afterAutospacing="0" w:line="240" w:lineRule="auto"/>
      </w:pPr>
      <w:r>
        <w:tab/>
      </w:r>
    </w:p>
    <w:p w14:paraId="0C54BC1A" w14:textId="77777777" w:rsidR="00EA15A4" w:rsidRPr="00437547" w:rsidRDefault="00EA15A4" w:rsidP="00B5058D">
      <w:pPr>
        <w:pStyle w:val="BodyText"/>
      </w:pPr>
    </w:p>
    <w:sectPr w:rsidR="00EA15A4" w:rsidRPr="00437547">
      <w:headerReference w:type="even" r:id="rId8"/>
      <w:headerReference w:type="default" r:id="rId9"/>
      <w:footerReference w:type="even" r:id="rId10"/>
      <w:footerReference w:type="default" r:id="rId11"/>
      <w:headerReference w:type="first" r:id="rId12"/>
      <w:footerReference w:type="first" r:id="rId13"/>
      <w:pgSz w:w="11906" w:h="16838" w:code="9"/>
      <w:pgMar w:top="1418" w:right="1021" w:bottom="1418"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066BB" w14:textId="77777777" w:rsidR="00761956" w:rsidRDefault="00761956">
      <w:pPr>
        <w:spacing w:after="0" w:line="240" w:lineRule="auto"/>
      </w:pPr>
      <w:r>
        <w:separator/>
      </w:r>
    </w:p>
  </w:endnote>
  <w:endnote w:type="continuationSeparator" w:id="0">
    <w:p w14:paraId="09E6DA06" w14:textId="77777777" w:rsidR="00761956" w:rsidRDefault="0076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1402" w14:textId="77777777" w:rsidR="00952735" w:rsidRDefault="0095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A6A7" w14:textId="77777777" w:rsidR="00437547" w:rsidRPr="00DB2E3F" w:rsidRDefault="00DB2E3F" w:rsidP="00DB2E3F">
    <w:pPr>
      <w:pBdr>
        <w:top w:val="single" w:sz="2" w:space="4" w:color="A6A6A6"/>
      </w:pBdr>
      <w:spacing w:line="240" w:lineRule="auto"/>
      <w:ind w:left="425" w:right="3317" w:hanging="425"/>
      <w:contextualSpacing/>
      <w:rPr>
        <w:b/>
      </w:rPr>
    </w:pPr>
    <w:r>
      <w:rPr>
        <w:lang w:val="en-US"/>
      </w:rPr>
      <mc:AlternateContent>
        <mc:Choice Requires="wps">
          <w:drawing>
            <wp:anchor distT="180340" distB="0" distL="114300" distR="114300" simplePos="0" relativeHeight="251661312" behindDoc="0" locked="0" layoutInCell="1" allowOverlap="0" wp14:anchorId="7D66C935" wp14:editId="6B4202E4">
              <wp:simplePos x="0" y="0"/>
              <wp:positionH relativeFrom="column">
                <wp:posOffset>4284345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29D74E" w14:textId="77777777" w:rsidR="00DB2E3F" w:rsidRDefault="00761956" w:rsidP="00DB2E3F">
                          <w:pPr>
                            <w:spacing w:line="240" w:lineRule="exact"/>
                          </w:pPr>
                          <w:hyperlink r:id="rId1" w:history="1">
                            <w:r w:rsidR="00DB2E3F" w:rsidRPr="003E217F">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6C935" id="_x0000_t202" coordsize="21600,21600" o:spt="202" path="m,l,21600r21600,l21600,xe">
              <v:stroke joinstyle="miter"/>
              <v:path gradientshapeok="t" o:connecttype="rect"/>
            </v:shapetype>
            <v:shape id="Text Box 5" o:spid="_x0000_s1026" type="#_x0000_t202" style="position:absolute;left:0;text-align:left;margin-left:337.35pt;margin-top:785.3pt;width:90pt;height:36pt;z-index:251661312;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" o:allowoverlap="f" filled="f" stroked="f">
              <v:textbox inset=",7.2pt,,7.2pt">
                <w:txbxContent>
                  <w:p w14:paraId="3329D74E" w14:textId="77777777" w:rsidR="00DB2E3F" w:rsidRDefault="004211AF" w:rsidP="00DB2E3F">
                    <w:pPr>
                      <w:spacing w:line="240" w:lineRule="exact"/>
                    </w:pPr>
                    <w:hyperlink r:id="rId2" w:history="1">
                      <w:r w:rsidR="00DB2E3F" w:rsidRPr="003E217F">
                        <w:rPr>
                          <w:rStyle w:val="Hyperlink"/>
                          <w:sz w:val="16"/>
                          <w:szCs w:val="16"/>
                        </w:rPr>
                        <w:t>www.ucu.org.uk</w:t>
                      </w:r>
                    </w:hyperlink>
                  </w:p>
                </w:txbxContent>
              </v:textbox>
              <w10:wrap type="square" anchory="page"/>
            </v:shape>
          </w:pict>
        </mc:Fallback>
      </mc:AlternateContent>
    </w:r>
    <w:r>
      <w:rPr>
        <w:lang w:val="en-US"/>
      </w:rPr>
      <w:drawing>
        <wp:anchor distT="0" distB="0" distL="114300" distR="114300" simplePos="0" relativeHeight="251660288" behindDoc="1" locked="1" layoutInCell="1" allowOverlap="1" wp14:anchorId="5E75E2C8" wp14:editId="6B89F988">
          <wp:simplePos x="0" y="0"/>
          <wp:positionH relativeFrom="column">
            <wp:posOffset>5438775</wp:posOffset>
          </wp:positionH>
          <wp:positionV relativeFrom="page">
            <wp:posOffset>9973310</wp:posOffset>
          </wp:positionV>
          <wp:extent cx="714375" cy="238125"/>
          <wp:effectExtent l="0" t="0" r="0" b="0"/>
          <wp:wrapNone/>
          <wp:docPr id="12"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DC">
      <w:rPr>
        <w:rStyle w:val="PageNumber"/>
        <w:bCs/>
        <w:szCs w:val="21"/>
      </w:rPr>
      <w:fldChar w:fldCharType="begin"/>
    </w:r>
    <w:r w:rsidRPr="00C475DC">
      <w:rPr>
        <w:rStyle w:val="PageNumber"/>
        <w:bCs/>
        <w:szCs w:val="21"/>
      </w:rPr>
      <w:instrText xml:space="preserve"> PAGE </w:instrText>
    </w:r>
    <w:r w:rsidRPr="00C475DC">
      <w:rPr>
        <w:rStyle w:val="PageNumber"/>
        <w:bCs/>
        <w:szCs w:val="21"/>
      </w:rPr>
      <w:fldChar w:fldCharType="separate"/>
    </w:r>
    <w:r>
      <w:rPr>
        <w:rStyle w:val="PageNumber"/>
        <w:bCs/>
        <w:szCs w:val="21"/>
      </w:rPr>
      <w:t>2</w:t>
    </w:r>
    <w:r w:rsidRPr="00C475DC">
      <w:rPr>
        <w:rStyle w:val="PageNumber"/>
        <w:bCs/>
        <w:szCs w:val="21"/>
      </w:rPr>
      <w:fldChar w:fldCharType="end"/>
    </w:r>
    <w:r w:rsidRPr="00C475DC">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7F4A" w14:textId="77777777" w:rsidR="00952735" w:rsidRDefault="0095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0C2EA" w14:textId="77777777" w:rsidR="00761956" w:rsidRDefault="00761956">
      <w:pPr>
        <w:spacing w:after="0" w:line="240" w:lineRule="auto"/>
      </w:pPr>
      <w:r>
        <w:separator/>
      </w:r>
    </w:p>
  </w:footnote>
  <w:footnote w:type="continuationSeparator" w:id="0">
    <w:p w14:paraId="43B5A22C" w14:textId="77777777" w:rsidR="00761956" w:rsidRDefault="00761956">
      <w:pPr>
        <w:spacing w:after="0" w:line="240" w:lineRule="auto"/>
      </w:pPr>
      <w:r>
        <w:continuationSeparator/>
      </w:r>
    </w:p>
  </w:footnote>
  <w:footnote w:id="1">
    <w:p w14:paraId="4F2D955D" w14:textId="77777777" w:rsidR="003E643A" w:rsidRDefault="003E643A" w:rsidP="003E643A">
      <w:pPr>
        <w:pStyle w:val="FootnoteText"/>
      </w:pPr>
      <w:r>
        <w:rPr>
          <w:rStyle w:val="FootnoteReference"/>
        </w:rPr>
        <w:footnoteRef/>
      </w:r>
      <w:r>
        <w:t xml:space="preserve"> </w:t>
      </w:r>
      <w:hyperlink r:id="rId1" w:history="1">
        <w:r w:rsidR="009F0543" w:rsidRPr="00720FD7">
          <w:rPr>
            <w:rStyle w:val="Hyperlink"/>
            <w:b w:val="0"/>
            <w:bCs/>
            <w:sz w:val="18"/>
          </w:rPr>
          <w:t>https://www.equalityhumanrights.com/en/advice-and-guidance/gender-reassignment-discrimination</w:t>
        </w:r>
      </w:hyperlink>
      <w:r w:rsidR="009F0543">
        <w:t xml:space="preserve"> </w:t>
      </w:r>
    </w:p>
  </w:footnote>
  <w:footnote w:id="2">
    <w:p w14:paraId="451AC14F" w14:textId="498E87C8" w:rsidR="00720FD7" w:rsidRPr="00720FD7" w:rsidRDefault="00720FD7" w:rsidP="00073497">
      <w:pPr>
        <w:pStyle w:val="FootnoteText"/>
        <w:ind w:left="170" w:hanging="170"/>
        <w:rPr>
          <w:rStyle w:val="Hyperlink"/>
          <w:b w:val="0"/>
          <w:color w:val="auto"/>
          <w:sz w:val="18"/>
        </w:rPr>
      </w:pPr>
      <w:r w:rsidRPr="00720FD7">
        <w:rPr>
          <w:rStyle w:val="Hyperlink"/>
          <w:b w:val="0"/>
          <w:color w:val="auto"/>
          <w:sz w:val="18"/>
        </w:rPr>
        <w:footnoteRef/>
      </w:r>
      <w:r w:rsidRPr="00720FD7">
        <w:rPr>
          <w:rStyle w:val="Hyperlink"/>
          <w:b w:val="0"/>
          <w:color w:val="auto"/>
          <w:sz w:val="18"/>
        </w:rPr>
        <w:t xml:space="preserve"> </w:t>
      </w:r>
      <w:hyperlink r:id="rId2" w:history="1">
        <w:r w:rsidRPr="002E5E36">
          <w:rPr>
            <w:rStyle w:val="Hyperlink"/>
            <w:b w:val="0"/>
            <w:sz w:val="18"/>
          </w:rPr>
          <w:t>https://www.thompsons.law/support/legal-guides-and-resources/how-to-legally-change-your-name</w:t>
        </w:r>
      </w:hyperlink>
      <w:r>
        <w:rPr>
          <w:rStyle w:val="Hyperlink"/>
          <w:b w:val="0"/>
          <w:color w:val="auto"/>
          <w:sz w:val="18"/>
        </w:rPr>
        <w:t xml:space="preserve"> </w:t>
      </w:r>
    </w:p>
  </w:footnote>
  <w:footnote w:id="3">
    <w:p w14:paraId="4673BA7B" w14:textId="0A99C739" w:rsidR="00720FD7" w:rsidRPr="00720FD7" w:rsidRDefault="00720FD7" w:rsidP="00073497">
      <w:pPr>
        <w:pStyle w:val="FootnoteText"/>
        <w:ind w:left="170" w:hanging="170"/>
        <w:rPr>
          <w:rStyle w:val="Hyperlink"/>
          <w:b w:val="0"/>
          <w:color w:val="auto"/>
          <w:sz w:val="18"/>
        </w:rPr>
      </w:pPr>
      <w:r w:rsidRPr="00720FD7">
        <w:rPr>
          <w:rStyle w:val="Hyperlink"/>
          <w:b w:val="0"/>
          <w:color w:val="auto"/>
          <w:sz w:val="18"/>
        </w:rPr>
        <w:footnoteRef/>
      </w:r>
      <w:r w:rsidRPr="00720FD7">
        <w:rPr>
          <w:rStyle w:val="Hyperlink"/>
          <w:b w:val="0"/>
          <w:color w:val="auto"/>
          <w:sz w:val="18"/>
        </w:rPr>
        <w:t xml:space="preserve"> </w:t>
      </w:r>
      <w:hyperlink r:id="rId3" w:history="1">
        <w:r w:rsidRPr="002E5E36">
          <w:rPr>
            <w:rStyle w:val="Hyperlink"/>
            <w:b w:val="0"/>
            <w:sz w:val="18"/>
          </w:rPr>
          <w:t>http://www.legislation.gov.uk/ukpga/2010/15/contents</w:t>
        </w:r>
      </w:hyperlink>
      <w:r>
        <w:rPr>
          <w:rStyle w:val="Hyperlink"/>
          <w:b w:val="0"/>
          <w:color w:val="auto"/>
          <w:sz w:val="18"/>
        </w:rPr>
        <w:t xml:space="preserve"> </w:t>
      </w:r>
    </w:p>
  </w:footnote>
  <w:footnote w:id="4">
    <w:p w14:paraId="60C5E696" w14:textId="0C6BAE8A" w:rsidR="00720FD7" w:rsidRPr="00720FD7" w:rsidRDefault="00720FD7" w:rsidP="00073497">
      <w:pPr>
        <w:pStyle w:val="FootnoteText"/>
        <w:ind w:left="170" w:hanging="170"/>
        <w:rPr>
          <w:rStyle w:val="Hyperlink"/>
          <w:b w:val="0"/>
          <w:color w:val="auto"/>
          <w:sz w:val="18"/>
        </w:rPr>
      </w:pPr>
      <w:r w:rsidRPr="00720FD7">
        <w:rPr>
          <w:rStyle w:val="Hyperlink"/>
          <w:b w:val="0"/>
          <w:color w:val="auto"/>
          <w:sz w:val="18"/>
        </w:rPr>
        <w:footnoteRef/>
      </w:r>
      <w:r w:rsidRPr="00720FD7">
        <w:rPr>
          <w:rStyle w:val="Hyperlink"/>
          <w:b w:val="0"/>
          <w:color w:val="auto"/>
          <w:sz w:val="18"/>
        </w:rPr>
        <w:t xml:space="preserve"> </w:t>
      </w:r>
      <w:hyperlink r:id="rId4" w:history="1">
        <w:r w:rsidRPr="002E5E36">
          <w:rPr>
            <w:rStyle w:val="Hyperlink"/>
            <w:b w:val="0"/>
            <w:sz w:val="18"/>
          </w:rPr>
          <w:t>https://www.citizensadvice.org.uk/law-and-courts/discrimination/public-sector-equality-duty/who-must-comply-with-the-public-sector-equality-duty/</w:t>
        </w:r>
      </w:hyperlink>
    </w:p>
  </w:footnote>
  <w:footnote w:id="5">
    <w:p w14:paraId="232BE388" w14:textId="75178713" w:rsidR="00720FD7" w:rsidRPr="00720FD7" w:rsidRDefault="00720FD7" w:rsidP="00073497">
      <w:pPr>
        <w:pStyle w:val="FootnoteText"/>
        <w:ind w:left="170" w:hanging="170"/>
        <w:rPr>
          <w:rStyle w:val="Hyperlink"/>
          <w:b w:val="0"/>
          <w:color w:val="auto"/>
          <w:sz w:val="18"/>
        </w:rPr>
      </w:pPr>
      <w:r w:rsidRPr="00720FD7">
        <w:rPr>
          <w:rStyle w:val="Hyperlink"/>
          <w:b w:val="0"/>
          <w:color w:val="auto"/>
          <w:sz w:val="18"/>
        </w:rPr>
        <w:footnoteRef/>
      </w:r>
      <w:r w:rsidRPr="00720FD7">
        <w:rPr>
          <w:rStyle w:val="Hyperlink"/>
          <w:b w:val="0"/>
          <w:color w:val="auto"/>
          <w:sz w:val="18"/>
        </w:rPr>
        <w:t xml:space="preserve"> </w:t>
      </w:r>
      <w:hyperlink r:id="rId5" w:history="1">
        <w:r w:rsidRPr="002E5E36">
          <w:rPr>
            <w:rStyle w:val="Hyperlink"/>
            <w:b w:val="0"/>
            <w:sz w:val="18"/>
          </w:rPr>
          <w:t>https://www.equalityhumanrights.com/en/public-sector-equality-duty-scotland/public-sector-equality-duty-faqs</w:t>
        </w:r>
      </w:hyperlink>
      <w:r>
        <w:rPr>
          <w:rStyle w:val="Hyperlink"/>
          <w:b w:val="0"/>
          <w:color w:val="auto"/>
          <w:sz w:val="18"/>
        </w:rPr>
        <w:t xml:space="preserve"> </w:t>
      </w:r>
    </w:p>
  </w:footnote>
  <w:footnote w:id="6">
    <w:p w14:paraId="65C4A67B" w14:textId="3EE1481A" w:rsidR="00720FD7" w:rsidRDefault="00720FD7" w:rsidP="00073497">
      <w:pPr>
        <w:pStyle w:val="FootnoteText"/>
        <w:ind w:left="170" w:hanging="170"/>
      </w:pPr>
      <w:r w:rsidRPr="00720FD7">
        <w:rPr>
          <w:rStyle w:val="Hyperlink"/>
          <w:b w:val="0"/>
          <w:color w:val="auto"/>
          <w:sz w:val="18"/>
        </w:rPr>
        <w:footnoteRef/>
      </w:r>
      <w:r w:rsidRPr="00720FD7">
        <w:rPr>
          <w:rStyle w:val="Hyperlink"/>
          <w:b w:val="0"/>
          <w:color w:val="auto"/>
          <w:sz w:val="18"/>
        </w:rPr>
        <w:t xml:space="preserve"> </w:t>
      </w:r>
      <w:hyperlink r:id="rId6" w:history="1">
        <w:r w:rsidRPr="002E5E36">
          <w:rPr>
            <w:rStyle w:val="Hyperlink"/>
            <w:b w:val="0"/>
            <w:sz w:val="18"/>
          </w:rPr>
          <w:t>https://commonslibrary.parliament.uk/research-briefings/sn06591/</w:t>
        </w:r>
      </w:hyperlink>
      <w:r>
        <w:rPr>
          <w:rStyle w:val="Hyperlink"/>
          <w:b w:val="0"/>
          <w:color w:val="auto"/>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21CB0" w14:textId="77777777" w:rsidR="00952735" w:rsidRDefault="0095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7A27" w14:textId="77777777" w:rsidR="00952735" w:rsidRDefault="0095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5E0E" w14:textId="74B6FCD2" w:rsidR="00437547" w:rsidRDefault="00952735" w:rsidP="00720FD7">
    <w:bookmarkStart w:id="0" w:name="_GoBack"/>
    <w:bookmarkEnd w:id="0"/>
    <w:r w:rsidRPr="0090653A">
      <w:rPr>
        <w:rFonts w:ascii="Times New Roman" w:hAnsi="Times New Roman"/>
        <w:sz w:val="24"/>
        <w:szCs w:val="24"/>
        <w:lang w:eastAsia="en-GB"/>
      </w:rPr>
      <w:drawing>
        <wp:anchor distT="0" distB="0" distL="114300" distR="114300" simplePos="0" relativeHeight="251672576" behindDoc="0" locked="0" layoutInCell="1" allowOverlap="1" wp14:anchorId="2FEB1C26" wp14:editId="0C3D2D87">
          <wp:simplePos x="0" y="0"/>
          <wp:positionH relativeFrom="margin">
            <wp:posOffset>5606415</wp:posOffset>
          </wp:positionH>
          <wp:positionV relativeFrom="margin">
            <wp:posOffset>-687705</wp:posOffset>
          </wp:positionV>
          <wp:extent cx="633095" cy="421005"/>
          <wp:effectExtent l="12700" t="12700" r="14605" b="10795"/>
          <wp:wrapSquare wrapText="bothSides"/>
          <wp:docPr id="14" name="Picture 14" descr="http://voicesandvisibility.org.uk/wp-content/uploads/2019/09/non-binary-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oicesandvisibility.org.uk/wp-content/uploads/2019/09/non-binary-fla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4" b="-24"/>
                  <a:stretch/>
                </pic:blipFill>
                <pic:spPr bwMode="auto">
                  <a:xfrm>
                    <a:off x="0" y="0"/>
                    <a:ext cx="633095" cy="421005"/>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3497" w:rsidRPr="0090653A">
      <w:rPr>
        <w:rFonts w:ascii="Times New Roman" w:hAnsi="Times New Roman"/>
        <w:sz w:val="24"/>
        <w:szCs w:val="24"/>
        <w:lang w:eastAsia="en-GB"/>
      </w:rPr>
      <w:drawing>
        <wp:anchor distT="0" distB="0" distL="114300" distR="114300" simplePos="0" relativeHeight="251670528" behindDoc="0" locked="0" layoutInCell="1" allowOverlap="1" wp14:anchorId="7C50E901" wp14:editId="4D37E64F">
          <wp:simplePos x="0" y="0"/>
          <wp:positionH relativeFrom="margin">
            <wp:posOffset>5606415</wp:posOffset>
          </wp:positionH>
          <wp:positionV relativeFrom="margin">
            <wp:posOffset>-1170305</wp:posOffset>
          </wp:positionV>
          <wp:extent cx="633600" cy="421200"/>
          <wp:effectExtent l="12700" t="12700" r="14605" b="10795"/>
          <wp:wrapSquare wrapText="bothSides"/>
          <wp:docPr id="13" name="Picture 13" descr="http://voicesandvisibility.org.uk/wp-content/uploads/2019/09/Transge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oicesandvisibility.org.uk/wp-content/uploads/2019/09/Transgen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633600" cy="42120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073497">
      <mc:AlternateContent>
        <mc:Choice Requires="wps">
          <w:drawing>
            <wp:anchor distT="0" distB="0" distL="114300" distR="114300" simplePos="0" relativeHeight="251665408" behindDoc="0" locked="0" layoutInCell="1" allowOverlap="1" wp14:anchorId="6FD414D9" wp14:editId="2B0DE8EB">
              <wp:simplePos x="0" y="0"/>
              <wp:positionH relativeFrom="margin">
                <wp:posOffset>3103245</wp:posOffset>
              </wp:positionH>
              <wp:positionV relativeFrom="margin">
                <wp:posOffset>-1080135</wp:posOffset>
              </wp:positionV>
              <wp:extent cx="2476500" cy="914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476500" cy="914400"/>
                      </a:xfrm>
                      <a:prstGeom prst="rect">
                        <a:avLst/>
                      </a:prstGeom>
                      <a:solidFill>
                        <a:schemeClr val="lt1"/>
                      </a:solidFill>
                      <a:ln w="6350">
                        <a:noFill/>
                      </a:ln>
                    </wps:spPr>
                    <wps:txbx>
                      <w:txbxContent>
                        <w:p w14:paraId="2750DDF6" w14:textId="2DC8D92D" w:rsidR="00720FD7" w:rsidRPr="00073497" w:rsidRDefault="00720FD7" w:rsidP="00073497">
                          <w:pPr>
                            <w:spacing w:line="240" w:lineRule="auto"/>
                            <w:jc w:val="right"/>
                            <w:rPr>
                              <w:i/>
                              <w:iCs/>
                              <w:sz w:val="18"/>
                              <w:szCs w:val="18"/>
                            </w:rPr>
                          </w:pPr>
                          <w:r w:rsidRPr="00073497">
                            <w:rPr>
                              <w:i/>
                              <w:iCs/>
                              <w:sz w:val="18"/>
                              <w:szCs w:val="18"/>
                            </w:rPr>
                            <w:t>Trans flag</w:t>
                          </w:r>
                          <w:r w:rsidR="00073497" w:rsidRPr="00073497">
                            <w:rPr>
                              <w:i/>
                              <w:iCs/>
                              <w:sz w:val="18"/>
                              <w:szCs w:val="18"/>
                            </w:rPr>
                            <w:br/>
                          </w:r>
                        </w:p>
                        <w:p w14:paraId="1E513A5D" w14:textId="729DB5B5" w:rsidR="00720FD7" w:rsidRPr="00073497" w:rsidRDefault="00720FD7" w:rsidP="00720FD7">
                          <w:pPr>
                            <w:jc w:val="right"/>
                            <w:rPr>
                              <w:i/>
                              <w:iCs/>
                              <w:sz w:val="18"/>
                              <w:szCs w:val="18"/>
                            </w:rPr>
                          </w:pPr>
                          <w:r w:rsidRPr="00073497">
                            <w:rPr>
                              <w:i/>
                              <w:iCs/>
                              <w:sz w:val="18"/>
                              <w:szCs w:val="18"/>
                            </w:rPr>
                            <w:t>Non-binary flag</w:t>
                          </w:r>
                        </w:p>
                        <w:p w14:paraId="1D543C83" w14:textId="77777777" w:rsidR="00720FD7" w:rsidRDefault="00720FD7" w:rsidP="0072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414D9" id="_x0000_t202" coordsize="21600,21600" o:spt="202" path="m,l,21600r21600,l21600,xe">
              <v:stroke joinstyle="miter"/>
              <v:path gradientshapeok="t" o:connecttype="rect"/>
            </v:shapetype>
            <v:shape id="Text Box 16" o:spid="_x0000_s1027" type="#_x0000_t202" style="position:absolute;margin-left:244.35pt;margin-top:-85.05pt;width:195pt;height:1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" fillcolor="white [3201]" stroked="f" strokeweight=".5pt">
              <v:textbox>
                <w:txbxContent>
                  <w:p w14:paraId="2750DDF6" w14:textId="2DC8D92D" w:rsidR="00720FD7" w:rsidRPr="00073497" w:rsidRDefault="00720FD7" w:rsidP="00073497">
                    <w:pPr>
                      <w:spacing w:line="240" w:lineRule="auto"/>
                      <w:jc w:val="right"/>
                      <w:rPr>
                        <w:i/>
                        <w:iCs/>
                        <w:sz w:val="18"/>
                        <w:szCs w:val="18"/>
                      </w:rPr>
                    </w:pPr>
                    <w:r w:rsidRPr="00073497">
                      <w:rPr>
                        <w:i/>
                        <w:iCs/>
                        <w:sz w:val="18"/>
                        <w:szCs w:val="18"/>
                      </w:rPr>
                      <w:t>Trans flag</w:t>
                    </w:r>
                    <w:r w:rsidR="00073497" w:rsidRPr="00073497">
                      <w:rPr>
                        <w:i/>
                        <w:iCs/>
                        <w:sz w:val="18"/>
                        <w:szCs w:val="18"/>
                      </w:rPr>
                      <w:br/>
                    </w:r>
                  </w:p>
                  <w:p w14:paraId="1E513A5D" w14:textId="729DB5B5" w:rsidR="00720FD7" w:rsidRPr="00073497" w:rsidRDefault="00720FD7" w:rsidP="00720FD7">
                    <w:pPr>
                      <w:jc w:val="right"/>
                      <w:rPr>
                        <w:i/>
                        <w:iCs/>
                        <w:sz w:val="18"/>
                        <w:szCs w:val="18"/>
                      </w:rPr>
                    </w:pPr>
                    <w:r w:rsidRPr="00073497">
                      <w:rPr>
                        <w:i/>
                        <w:iCs/>
                        <w:sz w:val="18"/>
                        <w:szCs w:val="18"/>
                      </w:rPr>
                      <w:t>Non-binary flag</w:t>
                    </w:r>
                  </w:p>
                  <w:p w14:paraId="1D543C83" w14:textId="77777777" w:rsidR="00720FD7" w:rsidRDefault="00720FD7" w:rsidP="00720FD7"/>
                </w:txbxContent>
              </v:textbox>
              <w10:wrap type="square" anchorx="margin" anchory="margin"/>
            </v:shape>
          </w:pict>
        </mc:Fallback>
      </mc:AlternateContent>
    </w:r>
    <w:r w:rsidR="00437547">
      <w:rPr>
        <w:lang w:val="en-US"/>
      </w:rPr>
      <w:drawing>
        <wp:anchor distT="0" distB="0" distL="114300" distR="114300" simplePos="0" relativeHeight="251658240" behindDoc="0" locked="0" layoutInCell="1" allowOverlap="1" wp14:anchorId="2736BF4F" wp14:editId="2FC49A94">
          <wp:simplePos x="0" y="0"/>
          <wp:positionH relativeFrom="column">
            <wp:posOffset>-170815</wp:posOffset>
          </wp:positionH>
          <wp:positionV relativeFrom="paragraph">
            <wp:posOffset>34925</wp:posOffset>
          </wp:positionV>
          <wp:extent cx="2209800" cy="774700"/>
          <wp:effectExtent l="0" t="0" r="0" b="12700"/>
          <wp:wrapTopAndBottom/>
          <wp:docPr id="15" name="Picture 3"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u_colo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E6EAF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A24D34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E480F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B3658"/>
    <w:multiLevelType w:val="hybridMultilevel"/>
    <w:tmpl w:val="7308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E112D"/>
    <w:multiLevelType w:val="hybridMultilevel"/>
    <w:tmpl w:val="D7B4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7057"/>
    <w:multiLevelType w:val="hybridMultilevel"/>
    <w:tmpl w:val="5936D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62D75"/>
    <w:multiLevelType w:val="hybridMultilevel"/>
    <w:tmpl w:val="571C3A1E"/>
    <w:lvl w:ilvl="0" w:tplc="B1884476">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B7AE5"/>
    <w:multiLevelType w:val="hybridMultilevel"/>
    <w:tmpl w:val="C78A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17AAE"/>
    <w:multiLevelType w:val="hybridMultilevel"/>
    <w:tmpl w:val="4B5EA6E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07096"/>
    <w:multiLevelType w:val="multilevel"/>
    <w:tmpl w:val="571C3A1E"/>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A0EB3"/>
    <w:multiLevelType w:val="hybridMultilevel"/>
    <w:tmpl w:val="E0305252"/>
    <w:lvl w:ilvl="0" w:tplc="88EEBC0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95B9E"/>
    <w:multiLevelType w:val="multilevel"/>
    <w:tmpl w:val="36548710"/>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356AD7"/>
    <w:multiLevelType w:val="multilevel"/>
    <w:tmpl w:val="36548710"/>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507ACB"/>
    <w:multiLevelType w:val="hybridMultilevel"/>
    <w:tmpl w:val="FB6C0A0A"/>
    <w:lvl w:ilvl="0" w:tplc="58DA2DE2">
      <w:start w:val="1"/>
      <w:numFmt w:val="lowerRoman"/>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0"/>
  </w:num>
  <w:num w:numId="4">
    <w:abstractNumId w:val="11"/>
  </w:num>
  <w:num w:numId="5">
    <w:abstractNumId w:val="1"/>
  </w:num>
  <w:num w:numId="6">
    <w:abstractNumId w:val="1"/>
  </w:num>
  <w:num w:numId="7">
    <w:abstractNumId w:val="4"/>
  </w:num>
  <w:num w:numId="8">
    <w:abstractNumId w:val="7"/>
  </w:num>
  <w:num w:numId="9">
    <w:abstractNumId w:val="3"/>
  </w:num>
  <w:num w:numId="10">
    <w:abstractNumId w:val="5"/>
  </w:num>
  <w:num w:numId="11">
    <w:abstractNumId w:val="8"/>
  </w:num>
  <w:num w:numId="12">
    <w:abstractNumId w:val="12"/>
  </w:num>
  <w:num w:numId="13">
    <w:abstractNumId w:val="13"/>
  </w:num>
  <w:num w:numId="14">
    <w:abstractNumId w:val="6"/>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3A"/>
    <w:rsid w:val="00073497"/>
    <w:rsid w:val="003359F5"/>
    <w:rsid w:val="003E643A"/>
    <w:rsid w:val="004211AF"/>
    <w:rsid w:val="0042708A"/>
    <w:rsid w:val="00437547"/>
    <w:rsid w:val="006C2178"/>
    <w:rsid w:val="00720FD7"/>
    <w:rsid w:val="00761956"/>
    <w:rsid w:val="0082361B"/>
    <w:rsid w:val="00850506"/>
    <w:rsid w:val="00952735"/>
    <w:rsid w:val="009F0543"/>
    <w:rsid w:val="00B5058D"/>
    <w:rsid w:val="00CF6F9D"/>
    <w:rsid w:val="00DB2E3F"/>
    <w:rsid w:val="00E43EEF"/>
    <w:rsid w:val="00EA15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89968"/>
  <w14:defaultImageDpi w14:val="300"/>
  <w15:docId w15:val="{CB6B846C-5AEB-C54D-9B0C-70577ED9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0" w:afterAutospacing="1" w:line="300" w:lineRule="auto"/>
    </w:pPr>
    <w:rPr>
      <w:rFonts w:ascii="Verdana" w:hAnsi="Verdana"/>
      <w:noProof/>
      <w:sz w:val="21"/>
    </w:rPr>
  </w:style>
  <w:style w:type="paragraph" w:styleId="Heading1">
    <w:name w:val="heading 1"/>
    <w:basedOn w:val="Normal"/>
    <w:next w:val="BodyText"/>
    <w:qFormat/>
    <w:pPr>
      <w:keepNext/>
      <w:spacing w:before="120" w:line="264" w:lineRule="auto"/>
      <w:outlineLvl w:val="0"/>
    </w:pPr>
    <w:rPr>
      <w:b/>
      <w:color w:val="3D007A"/>
      <w:sz w:val="34"/>
    </w:rPr>
  </w:style>
  <w:style w:type="paragraph" w:styleId="Heading2">
    <w:name w:val="heading 2"/>
    <w:basedOn w:val="Normal"/>
    <w:next w:val="BodyText"/>
    <w:qFormat/>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eastAsiaTheme="majorEastAsia" w:hAnsiTheme="majorHAnsi"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qFormat/>
  </w:style>
  <w:style w:type="paragraph" w:customStyle="1" w:styleId="BodyTextIndent1">
    <w:name w:val="Body Text Indent1"/>
    <w:basedOn w:val="BodyText"/>
    <w:pPr>
      <w:ind w:left="737"/>
    </w:pPr>
  </w:style>
  <w:style w:type="paragraph" w:customStyle="1" w:styleId="ccenc">
    <w:name w:val="cc/enc"/>
    <w:basedOn w:val="Normal"/>
    <w:pPr>
      <w:overflowPunct w:val="0"/>
      <w:autoSpaceDE w:val="0"/>
      <w:autoSpaceDN w:val="0"/>
      <w:adjustRightInd w:val="0"/>
      <w:spacing w:before="120" w:after="60" w:line="288" w:lineRule="auto"/>
      <w:ind w:left="576" w:hanging="576"/>
      <w:textAlignment w:val="baseline"/>
    </w:pPr>
  </w:style>
  <w:style w:type="character" w:customStyle="1" w:styleId="Heading7Char">
    <w:name w:val="Heading 7 Char"/>
    <w:basedOn w:val="DefaultParagraphFont"/>
    <w:link w:val="Heading7"/>
    <w:uiPriority w:val="9"/>
    <w:semiHidden/>
    <w:rsid w:val="00437547"/>
    <w:rPr>
      <w:rFonts w:asciiTheme="majorHAnsi" w:eastAsiaTheme="majorEastAsia" w:hAnsiTheme="majorHAnsi"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rsid w:val="0042708A"/>
    <w:pPr>
      <w:tabs>
        <w:tab w:val="center" w:pos="4153"/>
        <w:tab w:val="right" w:pos="8306"/>
      </w:tabs>
      <w:spacing w:after="0" w:afterAutospacing="0"/>
      <w:ind w:left="170" w:hanging="170"/>
    </w:pPr>
    <w:rPr>
      <w:sz w:val="18"/>
    </w:rPr>
  </w:style>
  <w:style w:type="paragraph" w:customStyle="1" w:styleId="FooterWWW">
    <w:name w:val="FooterWWW"/>
    <w:basedOn w:val="Footer"/>
    <w:pPr>
      <w:tabs>
        <w:tab w:val="clear" w:pos="4153"/>
        <w:tab w:val="clear" w:pos="8306"/>
      </w:tabs>
      <w:overflowPunct w:val="0"/>
      <w:autoSpaceDE w:val="0"/>
      <w:autoSpaceDN w:val="0"/>
      <w:adjustRightInd w:val="0"/>
      <w:spacing w:line="288" w:lineRule="auto"/>
      <w:jc w:val="right"/>
      <w:textAlignment w:val="baseline"/>
    </w:pPr>
    <w:rPr>
      <w:b/>
      <w:color w:val="FF1F99"/>
      <w:sz w:val="12"/>
    </w:rPr>
  </w:style>
  <w:style w:type="character" w:styleId="FootnoteReference">
    <w:name w:val="footnote reference"/>
    <w:basedOn w:val="DefaultParagraphFont"/>
    <w:uiPriority w:val="99"/>
    <w:rPr>
      <w:rFonts w:ascii="Verdana" w:hAnsi="Verdana"/>
      <w:b/>
      <w:sz w:val="21"/>
      <w:vertAlign w:val="superscript"/>
    </w:rPr>
  </w:style>
  <w:style w:type="paragraph" w:styleId="FootnoteText">
    <w:name w:val="footnote text"/>
    <w:basedOn w:val="Normal"/>
    <w:link w:val="FootnoteTextChar"/>
    <w:uiPriority w:val="99"/>
    <w:rsid w:val="009F0543"/>
    <w:pPr>
      <w:spacing w:line="240" w:lineRule="auto"/>
      <w:ind w:left="113" w:hanging="113"/>
    </w:pPr>
    <w:rPr>
      <w:sz w:val="18"/>
    </w:rPr>
  </w:style>
  <w:style w:type="paragraph" w:styleId="Header">
    <w:name w:val="header"/>
    <w:basedOn w:val="Normal"/>
    <w:pPr>
      <w:tabs>
        <w:tab w:val="center" w:pos="4153"/>
        <w:tab w:val="right" w:pos="8306"/>
      </w:tabs>
    </w:pPr>
  </w:style>
  <w:style w:type="character" w:styleId="Hyperlink">
    <w:name w:val="Hyperlink"/>
    <w:basedOn w:val="DefaultParagraphFont"/>
    <w:qFormat/>
    <w:rPr>
      <w:rFonts w:ascii="Verdana" w:hAnsi="Verdana"/>
      <w:b/>
      <w:color w:val="FF1F8F"/>
      <w:sz w:val="21"/>
      <w:u w:val="none"/>
    </w:rPr>
  </w:style>
  <w:style w:type="paragraph" w:styleId="ListBullet">
    <w:name w:val="List Bullet"/>
    <w:basedOn w:val="BodyText"/>
    <w:qFormat/>
    <w:pPr>
      <w:numPr>
        <w:numId w:val="2"/>
      </w:numPr>
      <w:tabs>
        <w:tab w:val="clear" w:pos="510"/>
        <w:tab w:val="left" w:pos="340"/>
      </w:tabs>
      <w:ind w:left="340" w:hanging="340"/>
    </w:pPr>
  </w:style>
  <w:style w:type="paragraph" w:styleId="ListBullet2">
    <w:name w:val="List Bullet 2"/>
    <w:basedOn w:val="Normal"/>
    <w:pPr>
      <w:tabs>
        <w:tab w:val="num" w:pos="643"/>
      </w:tabs>
      <w:ind w:left="643" w:hanging="360"/>
    </w:pPr>
  </w:style>
  <w:style w:type="paragraph" w:customStyle="1" w:styleId="ListBulletspaced">
    <w:name w:val="List Bullet spaced"/>
    <w:basedOn w:val="ListBullet"/>
    <w:qFormat/>
    <w:pPr>
      <w:numPr>
        <w:numId w:val="14"/>
      </w:numPr>
      <w:spacing w:after="200"/>
    </w:pPr>
  </w:style>
  <w:style w:type="paragraph" w:styleId="ListNumber">
    <w:name w:val="List Number"/>
    <w:basedOn w:val="BodyText"/>
    <w:qFormat/>
    <w:pPr>
      <w:numPr>
        <w:numId w:val="6"/>
      </w:numPr>
      <w:tabs>
        <w:tab w:val="clear" w:pos="360"/>
        <w:tab w:val="left" w:pos="737"/>
      </w:tabs>
      <w:ind w:left="737" w:hanging="737"/>
    </w:pPr>
  </w:style>
  <w:style w:type="paragraph" w:customStyle="1" w:styleId="ListNumberspaced">
    <w:name w:val="List Number spaced"/>
    <w:basedOn w:val="ListNumber"/>
    <w:pPr>
      <w:numPr>
        <w:numId w:val="0"/>
      </w:numPr>
      <w:spacing w:after="240" w:afterAutospacing="0"/>
      <w:ind w:left="737" w:hanging="737"/>
    </w:pPr>
  </w:style>
  <w:style w:type="paragraph" w:styleId="NormalWeb">
    <w:name w:val="Normal (Web)"/>
    <w:basedOn w:val="Normal"/>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customStyle="1" w:styleId="Subject">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customStyle="1" w:styleId="SubtitleChar">
    <w:name w:val="Subtitle Char"/>
    <w:basedOn w:val="DefaultParagraphFont"/>
    <w:link w:val="Subtitle"/>
    <w:uiPriority w:val="11"/>
    <w:rsid w:val="00437547"/>
    <w:rPr>
      <w:rFonts w:ascii="Verdana" w:eastAsiaTheme="majorEastAsia" w:hAnsi="Verdana" w:cstheme="majorBidi"/>
      <w:b/>
      <w:iCs/>
      <w:noProof/>
      <w:spacing w:val="15"/>
      <w:sz w:val="24"/>
      <w:szCs w:val="24"/>
    </w:rPr>
  </w:style>
  <w:style w:type="paragraph" w:styleId="ListParagraph">
    <w:name w:val="List Paragraph"/>
    <w:basedOn w:val="Normal"/>
    <w:uiPriority w:val="34"/>
    <w:qFormat/>
    <w:rsid w:val="003E643A"/>
    <w:pPr>
      <w:spacing w:after="160" w:afterAutospacing="0" w:line="259" w:lineRule="auto"/>
      <w:ind w:left="720"/>
      <w:contextualSpacing/>
    </w:pPr>
    <w:rPr>
      <w:rFonts w:asciiTheme="minorHAnsi" w:eastAsiaTheme="minorHAnsi" w:hAnsiTheme="minorHAnsi" w:cstheme="minorBidi"/>
      <w:noProof w:val="0"/>
      <w:sz w:val="22"/>
      <w:szCs w:val="22"/>
    </w:rPr>
  </w:style>
  <w:style w:type="character" w:customStyle="1" w:styleId="FootnoteTextChar">
    <w:name w:val="Footnote Text Char"/>
    <w:basedOn w:val="DefaultParagraphFont"/>
    <w:link w:val="FootnoteText"/>
    <w:uiPriority w:val="99"/>
    <w:rsid w:val="009F0543"/>
    <w:rPr>
      <w:rFonts w:ascii="Verdana" w:hAnsi="Verdana"/>
      <w:noProof/>
      <w:sz w:val="18"/>
    </w:rPr>
  </w:style>
  <w:style w:type="character" w:styleId="UnresolvedMention">
    <w:name w:val="Unresolved Mention"/>
    <w:basedOn w:val="DefaultParagraphFont"/>
    <w:uiPriority w:val="99"/>
    <w:semiHidden/>
    <w:unhideWhenUsed/>
    <w:rsid w:val="009F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tkin@ucu.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0/15/contents" TargetMode="External"/><Relationship Id="rId2" Type="http://schemas.openxmlformats.org/officeDocument/2006/relationships/hyperlink" Target="https://www.thompsons.law/support/legal-guides-and-resources/how-to-legally-change-your-name" TargetMode="External"/><Relationship Id="rId1" Type="http://schemas.openxmlformats.org/officeDocument/2006/relationships/hyperlink" Target="https://www.equalityhumanrights.com/en/advice-and-guidance/gender-reassignment-discrimination" TargetMode="External"/><Relationship Id="rId6" Type="http://schemas.openxmlformats.org/officeDocument/2006/relationships/hyperlink" Target="https://commonslibrary.parliament.uk/research-briefings/sn06591/" TargetMode="External"/><Relationship Id="rId5" Type="http://schemas.openxmlformats.org/officeDocument/2006/relationships/hyperlink" Target="https://www.equalityhumanrights.com/en/public-sector-equality-duty-scotland/public-sector-equality-duty-faqs" TargetMode="External"/><Relationship Id="rId4" Type="http://schemas.openxmlformats.org/officeDocument/2006/relationships/hyperlink" Target="https://www.citizensadvice.org.uk/law-and-courts/discrimination/public-sector-equality-duty/who-must-comply-with-the-public-sector-equality-dut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s_p/Library/Group%20Containers/UBF8T346G9.Office/User%20Content.localized/Templates.localized/ucu_main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ucu_main_v4.dotx</Template>
  <TotalTime>41</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Gender identity: awareness and actions for equality</vt:lpstr>
    </vt:vector>
  </TitlesOfParts>
  <Manager/>
  <Company>UCU</Company>
  <LinksUpToDate>false</LinksUpToDate>
  <CharactersWithSpaces>5760</CharactersWithSpaces>
  <SharedDoc>false</SharedDoc>
  <HyperlinkBase/>
  <HLinks>
    <vt:vector size="6" baseType="variant">
      <vt:variant>
        <vt:i4>2031622</vt:i4>
      </vt:variant>
      <vt:variant>
        <vt:i4>0</vt:i4>
      </vt:variant>
      <vt:variant>
        <vt:i4>0</vt:i4>
      </vt:variant>
      <vt:variant>
        <vt:i4>5</vt:i4>
      </vt:variant>
      <vt:variant>
        <vt:lpwstr>http://education.gov.uk/aboutdfe/departmentalinformation/consultations/a00216058/teachers-pension-scheme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identity: awareness and actions for equality</dc:title>
  <dc:subject/>
  <dc:creator>Microsoft Office User</dc:creator>
  <cp:keywords/>
  <dc:description/>
  <cp:lastModifiedBy>Deborah Phillips</cp:lastModifiedBy>
  <cp:revision>3</cp:revision>
  <cp:lastPrinted>2009-04-01T14:57:00Z</cp:lastPrinted>
  <dcterms:created xsi:type="dcterms:W3CDTF">2020-05-14T10:29:00Z</dcterms:created>
  <dcterms:modified xsi:type="dcterms:W3CDTF">2020-05-14T14:47:00Z</dcterms:modified>
  <cp:category/>
</cp:coreProperties>
</file>