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D87" w:rsidRDefault="00862652" w:rsidP="009A1A28">
      <w:r>
        <w:rPr>
          <w:noProof/>
          <w:lang w:eastAsia="en-GB"/>
        </w:rPr>
        <w:drawing>
          <wp:anchor distT="0" distB="0" distL="114300" distR="114300" simplePos="0" relativeHeight="251659264" behindDoc="1" locked="1" layoutInCell="1" allowOverlap="1">
            <wp:simplePos x="0" y="0"/>
            <wp:positionH relativeFrom="column">
              <wp:posOffset>-415290</wp:posOffset>
            </wp:positionH>
            <wp:positionV relativeFrom="paragraph">
              <wp:posOffset>-168910</wp:posOffset>
            </wp:positionV>
            <wp:extent cx="2219325" cy="781050"/>
            <wp:effectExtent l="19050" t="0" r="9525" b="0"/>
            <wp:wrapTight wrapText="bothSides">
              <wp:wrapPolygon edited="0">
                <wp:start x="-185" y="0"/>
                <wp:lineTo x="-185" y="21073"/>
                <wp:lineTo x="21693" y="21073"/>
                <wp:lineTo x="21693" y="0"/>
                <wp:lineTo x="-185" y="0"/>
              </wp:wrapPolygon>
            </wp:wrapTight>
            <wp:docPr id="2"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_colour.jpg"/>
                    <pic:cNvPicPr/>
                  </pic:nvPicPr>
                  <pic:blipFill>
                    <a:blip r:embed="rId7" cstate="print"/>
                    <a:stretch>
                      <a:fillRect/>
                    </a:stretch>
                  </pic:blipFill>
                  <pic:spPr>
                    <a:xfrm>
                      <a:off x="0" y="0"/>
                      <a:ext cx="2219325" cy="781050"/>
                    </a:xfrm>
                    <a:prstGeom prst="rect">
                      <a:avLst/>
                    </a:prstGeom>
                  </pic:spPr>
                </pic:pic>
              </a:graphicData>
            </a:graphic>
          </wp:anchor>
        </w:drawing>
      </w:r>
    </w:p>
    <w:p w:rsidR="00A90D87" w:rsidRDefault="00A90D87" w:rsidP="009A1A28"/>
    <w:p w:rsidR="00A90D87" w:rsidRDefault="00A90D87" w:rsidP="009A1A28"/>
    <w:p w:rsidR="00A90D87" w:rsidRPr="005266B8" w:rsidRDefault="005266B8" w:rsidP="009A1A28">
      <w:pPr>
        <w:rPr>
          <w:rFonts w:asciiTheme="majorHAnsi" w:hAnsiTheme="majorHAnsi"/>
          <w:b/>
          <w:sz w:val="28"/>
          <w:szCs w:val="28"/>
        </w:rPr>
      </w:pPr>
      <w:r w:rsidRPr="005266B8">
        <w:rPr>
          <w:rFonts w:asciiTheme="majorHAnsi" w:hAnsiTheme="majorHAnsi"/>
          <w:b/>
          <w:sz w:val="28"/>
          <w:szCs w:val="28"/>
        </w:rPr>
        <w:t>Branch template letter on academic freedom in Turkey</w:t>
      </w:r>
    </w:p>
    <w:p w:rsidR="005266B8" w:rsidRPr="005266B8" w:rsidRDefault="005266B8" w:rsidP="005266B8">
      <w:pPr>
        <w:widowControl/>
        <w:spacing w:after="0" w:line="240" w:lineRule="auto"/>
        <w:rPr>
          <w:rFonts w:ascii="Cambria" w:eastAsia="Times New Roman" w:hAnsi="Cambria"/>
          <w:color w:val="auto"/>
          <w:sz w:val="24"/>
          <w:szCs w:val="24"/>
          <w:lang w:val="en-US"/>
        </w:rPr>
      </w:pPr>
      <w:r w:rsidRPr="005266B8">
        <w:rPr>
          <w:rFonts w:ascii="Cambria" w:eastAsia="Times New Roman" w:hAnsi="Cambria"/>
          <w:color w:val="auto"/>
          <w:sz w:val="24"/>
          <w:szCs w:val="24"/>
          <w:lang w:val="en-US"/>
        </w:rPr>
        <w:t>Dear (send to VC, Head of International, Head of Mobility, Strategic Partnerships)</w:t>
      </w:r>
    </w:p>
    <w:p w:rsidR="005266B8" w:rsidRPr="005266B8" w:rsidRDefault="005266B8" w:rsidP="005266B8">
      <w:pPr>
        <w:widowControl/>
        <w:spacing w:after="0" w:line="240" w:lineRule="auto"/>
        <w:rPr>
          <w:rFonts w:ascii="Cambria" w:eastAsia="Times New Roman" w:hAnsi="Cambria"/>
          <w:color w:val="auto"/>
          <w:sz w:val="24"/>
          <w:szCs w:val="24"/>
          <w:lang w:val="en-US"/>
        </w:rPr>
      </w:pPr>
    </w:p>
    <w:p w:rsidR="005266B8" w:rsidRPr="005266B8" w:rsidRDefault="005266B8" w:rsidP="005266B8">
      <w:pPr>
        <w:widowControl/>
        <w:spacing w:after="0" w:line="240" w:lineRule="auto"/>
        <w:rPr>
          <w:rFonts w:ascii="Cambria" w:eastAsia="Times New Roman" w:hAnsi="Cambria"/>
          <w:color w:val="auto"/>
          <w:sz w:val="24"/>
          <w:szCs w:val="24"/>
          <w:lang w:val="en-US"/>
        </w:rPr>
      </w:pPr>
      <w:r w:rsidRPr="005266B8">
        <w:rPr>
          <w:rFonts w:ascii="Cambria" w:eastAsia="Times New Roman" w:hAnsi="Cambria"/>
          <w:color w:val="auto"/>
          <w:sz w:val="24"/>
          <w:szCs w:val="24"/>
          <w:lang w:val="en-US"/>
        </w:rPr>
        <w:t xml:space="preserve">We, as UCU </w:t>
      </w:r>
      <w:r w:rsidRPr="005266B8">
        <w:rPr>
          <w:rFonts w:ascii="Cambria" w:eastAsia="Times New Roman" w:hAnsi="Cambria"/>
          <w:color w:val="auto"/>
          <w:sz w:val="24"/>
          <w:szCs w:val="24"/>
          <w:highlight w:val="yellow"/>
          <w:lang w:val="en-US"/>
        </w:rPr>
        <w:t>XXX</w:t>
      </w:r>
      <w:r w:rsidRPr="005266B8">
        <w:rPr>
          <w:rFonts w:ascii="Cambria" w:eastAsia="Times New Roman" w:hAnsi="Cambria"/>
          <w:color w:val="auto"/>
          <w:sz w:val="24"/>
          <w:szCs w:val="24"/>
          <w:lang w:val="en-US"/>
        </w:rPr>
        <w:t xml:space="preserve"> Branch, are writing to you with regard to the continued targeting of academics in Turkey. </w:t>
      </w:r>
    </w:p>
    <w:p w:rsidR="005266B8" w:rsidRPr="005266B8" w:rsidRDefault="005266B8" w:rsidP="005266B8">
      <w:pPr>
        <w:widowControl/>
        <w:spacing w:after="0" w:line="240" w:lineRule="auto"/>
        <w:rPr>
          <w:rFonts w:ascii="Cambria" w:eastAsia="Times New Roman" w:hAnsi="Cambria"/>
          <w:color w:val="auto"/>
          <w:sz w:val="24"/>
          <w:szCs w:val="24"/>
          <w:lang w:val="en-US"/>
        </w:rPr>
      </w:pPr>
    </w:p>
    <w:p w:rsidR="005266B8" w:rsidRPr="005266B8" w:rsidRDefault="005266B8" w:rsidP="005266B8">
      <w:pPr>
        <w:widowControl/>
        <w:spacing w:after="0" w:line="240" w:lineRule="auto"/>
        <w:rPr>
          <w:rFonts w:ascii="Cambria" w:eastAsia="Times New Roman" w:hAnsi="Cambria"/>
          <w:color w:val="auto"/>
          <w:sz w:val="24"/>
          <w:szCs w:val="24"/>
          <w:lang w:val="en-US"/>
        </w:rPr>
      </w:pPr>
      <w:r w:rsidRPr="005266B8">
        <w:rPr>
          <w:rFonts w:ascii="Cambria" w:eastAsia="Times New Roman" w:hAnsi="Cambria"/>
          <w:color w:val="auto"/>
          <w:sz w:val="24"/>
          <w:szCs w:val="24"/>
          <w:lang w:val="en-US"/>
        </w:rPr>
        <w:t xml:space="preserve">A good summary of events and injustices is summarized here in an </w:t>
      </w:r>
      <w:hyperlink r:id="rId8" w:history="1">
        <w:r w:rsidRPr="005266B8">
          <w:rPr>
            <w:rFonts w:ascii="Cambria" w:eastAsia="Times New Roman" w:hAnsi="Cambria"/>
            <w:color w:val="0000FF"/>
            <w:sz w:val="24"/>
            <w:szCs w:val="24"/>
            <w:u w:val="single"/>
            <w:lang w:val="en-US"/>
          </w:rPr>
          <w:t>article</w:t>
        </w:r>
      </w:hyperlink>
      <w:r w:rsidRPr="005266B8">
        <w:rPr>
          <w:rFonts w:ascii="Cambria" w:eastAsia="Times New Roman" w:hAnsi="Cambria"/>
          <w:color w:val="auto"/>
          <w:sz w:val="24"/>
          <w:szCs w:val="24"/>
          <w:lang w:val="en-US"/>
        </w:rPr>
        <w:t xml:space="preserve"> in the Guardian by two academics.</w:t>
      </w:r>
    </w:p>
    <w:p w:rsidR="005266B8" w:rsidRPr="005266B8" w:rsidRDefault="005266B8" w:rsidP="005266B8">
      <w:pPr>
        <w:widowControl/>
        <w:spacing w:after="0" w:line="240" w:lineRule="auto"/>
        <w:rPr>
          <w:rFonts w:ascii="Cambria" w:eastAsia="Times New Roman" w:hAnsi="Cambria"/>
          <w:color w:val="auto"/>
          <w:sz w:val="24"/>
          <w:szCs w:val="24"/>
          <w:lang w:val="en-US"/>
        </w:rPr>
      </w:pPr>
    </w:p>
    <w:p w:rsidR="005266B8" w:rsidRPr="005266B8" w:rsidRDefault="005266B8" w:rsidP="005266B8">
      <w:pPr>
        <w:widowControl/>
        <w:spacing w:after="0" w:line="240" w:lineRule="auto"/>
        <w:rPr>
          <w:rFonts w:ascii="Cambria" w:eastAsia="Times New Roman" w:hAnsi="Cambria"/>
          <w:color w:val="auto"/>
          <w:sz w:val="24"/>
          <w:szCs w:val="24"/>
          <w:lang w:val="en-US"/>
        </w:rPr>
      </w:pPr>
      <w:r w:rsidRPr="005266B8">
        <w:rPr>
          <w:rFonts w:ascii="Cambria" w:eastAsia="Times New Roman" w:hAnsi="Cambria"/>
          <w:color w:val="auto"/>
          <w:sz w:val="24"/>
          <w:szCs w:val="24"/>
          <w:lang w:val="en-US"/>
        </w:rPr>
        <w:t xml:space="preserve">There is also </w:t>
      </w:r>
      <w:hyperlink r:id="rId9" w:history="1">
        <w:r w:rsidRPr="005266B8">
          <w:rPr>
            <w:rFonts w:ascii="Cambria" w:eastAsia="Times New Roman" w:hAnsi="Cambria"/>
            <w:color w:val="0000FF"/>
            <w:sz w:val="24"/>
            <w:szCs w:val="24"/>
            <w:u w:val="single"/>
            <w:lang w:val="en-US"/>
          </w:rPr>
          <w:t>published academic research</w:t>
        </w:r>
      </w:hyperlink>
      <w:r w:rsidRPr="005266B8">
        <w:rPr>
          <w:rFonts w:ascii="Cambria" w:eastAsia="Times New Roman" w:hAnsi="Cambria"/>
          <w:color w:val="auto"/>
          <w:sz w:val="24"/>
          <w:szCs w:val="24"/>
          <w:lang w:val="en-US"/>
        </w:rPr>
        <w:t xml:space="preserve"> on the criminalization of academ</w:t>
      </w:r>
      <w:bookmarkStart w:id="0" w:name="_GoBack"/>
      <w:bookmarkEnd w:id="0"/>
      <w:r w:rsidRPr="005266B8">
        <w:rPr>
          <w:rFonts w:ascii="Cambria" w:eastAsia="Times New Roman" w:hAnsi="Cambria"/>
          <w:color w:val="auto"/>
          <w:sz w:val="24"/>
          <w:szCs w:val="24"/>
          <w:lang w:val="en-US"/>
        </w:rPr>
        <w:t>ics in Turkey.</w:t>
      </w:r>
    </w:p>
    <w:p w:rsidR="005266B8" w:rsidRPr="005266B8" w:rsidRDefault="005266B8" w:rsidP="005266B8">
      <w:pPr>
        <w:widowControl/>
        <w:spacing w:after="0" w:line="240" w:lineRule="auto"/>
        <w:rPr>
          <w:rFonts w:ascii="Cambria" w:eastAsia="Times New Roman" w:hAnsi="Cambria"/>
          <w:color w:val="auto"/>
          <w:sz w:val="24"/>
          <w:szCs w:val="24"/>
          <w:lang w:val="en-US"/>
        </w:rPr>
      </w:pPr>
    </w:p>
    <w:p w:rsidR="005266B8" w:rsidRPr="005266B8" w:rsidRDefault="005266B8" w:rsidP="005266B8">
      <w:pPr>
        <w:widowControl/>
        <w:spacing w:after="0" w:line="240" w:lineRule="auto"/>
        <w:rPr>
          <w:rFonts w:ascii="Cambria" w:eastAsia="Times New Roman" w:hAnsi="Cambria"/>
          <w:color w:val="auto"/>
          <w:sz w:val="24"/>
          <w:szCs w:val="24"/>
          <w:lang w:val="en-US"/>
        </w:rPr>
      </w:pPr>
      <w:r w:rsidRPr="005266B8">
        <w:rPr>
          <w:rFonts w:ascii="Cambria" w:eastAsia="Times New Roman" w:hAnsi="Cambria"/>
          <w:color w:val="auto"/>
          <w:sz w:val="24"/>
          <w:szCs w:val="24"/>
          <w:lang w:val="en-US"/>
        </w:rPr>
        <w:t xml:space="preserve">UCU </w:t>
      </w:r>
      <w:r w:rsidRPr="005266B8">
        <w:rPr>
          <w:rFonts w:ascii="Cambria" w:eastAsia="Times New Roman" w:hAnsi="Cambria"/>
          <w:color w:val="auto"/>
          <w:sz w:val="24"/>
          <w:szCs w:val="24"/>
          <w:highlight w:val="yellow"/>
          <w:lang w:val="en-US"/>
        </w:rPr>
        <w:t>XXX</w:t>
      </w:r>
      <w:r w:rsidRPr="005266B8">
        <w:rPr>
          <w:rFonts w:ascii="Cambria" w:eastAsia="Times New Roman" w:hAnsi="Cambria"/>
          <w:color w:val="auto"/>
          <w:sz w:val="24"/>
          <w:szCs w:val="24"/>
          <w:lang w:val="en-US"/>
        </w:rPr>
        <w:t xml:space="preserve"> Branch would like to raise specific questions with regard to our university’s responses to and relationships with </w:t>
      </w:r>
      <w:r w:rsidRPr="005266B8">
        <w:rPr>
          <w:rFonts w:ascii="Cambria" w:eastAsia="Times New Roman" w:hAnsi="Cambria"/>
          <w:i/>
          <w:color w:val="auto"/>
          <w:sz w:val="24"/>
          <w:szCs w:val="24"/>
          <w:lang w:val="en-US"/>
        </w:rPr>
        <w:t>certain</w:t>
      </w:r>
      <w:r w:rsidRPr="005266B8">
        <w:rPr>
          <w:rFonts w:ascii="Cambria" w:eastAsia="Times New Roman" w:hAnsi="Cambria"/>
          <w:color w:val="auto"/>
          <w:sz w:val="24"/>
          <w:szCs w:val="24"/>
          <w:lang w:val="en-US"/>
        </w:rPr>
        <w:t xml:space="preserve"> academic institutions that target academics in Turkey.</w:t>
      </w:r>
    </w:p>
    <w:p w:rsidR="005266B8" w:rsidRPr="005266B8" w:rsidRDefault="005266B8" w:rsidP="005266B8">
      <w:pPr>
        <w:widowControl/>
        <w:spacing w:after="0" w:line="240" w:lineRule="auto"/>
        <w:rPr>
          <w:rFonts w:ascii="Cambria" w:eastAsia="MS Mincho" w:hAnsi="Cambria"/>
          <w:color w:val="auto"/>
          <w:sz w:val="24"/>
          <w:szCs w:val="24"/>
          <w:lang w:val="en-US"/>
        </w:rPr>
      </w:pPr>
    </w:p>
    <w:p w:rsidR="005266B8" w:rsidRPr="005266B8" w:rsidRDefault="005266B8" w:rsidP="005266B8">
      <w:pPr>
        <w:widowControl/>
        <w:spacing w:after="0" w:line="240" w:lineRule="auto"/>
        <w:rPr>
          <w:rFonts w:ascii="Cambria" w:eastAsia="MS Mincho" w:hAnsi="Cambria"/>
          <w:color w:val="auto"/>
          <w:sz w:val="24"/>
          <w:szCs w:val="24"/>
          <w:lang w:val="en-US"/>
        </w:rPr>
      </w:pPr>
      <w:r w:rsidRPr="005266B8">
        <w:rPr>
          <w:rFonts w:ascii="Cambria" w:eastAsia="MS Mincho" w:hAnsi="Cambria"/>
          <w:color w:val="auto"/>
          <w:sz w:val="24"/>
          <w:szCs w:val="24"/>
          <w:lang w:val="en-US"/>
        </w:rPr>
        <w:t xml:space="preserve">1. As you know, our university is a member of </w:t>
      </w:r>
      <w:hyperlink r:id="rId10" w:history="1">
        <w:r w:rsidRPr="005266B8">
          <w:rPr>
            <w:rFonts w:ascii="Cambria" w:eastAsia="MS Mincho" w:hAnsi="Cambria"/>
            <w:color w:val="0000FF"/>
            <w:sz w:val="24"/>
            <w:szCs w:val="24"/>
            <w:u w:val="single"/>
            <w:lang w:val="en-US"/>
          </w:rPr>
          <w:t>CARA</w:t>
        </w:r>
      </w:hyperlink>
      <w:r w:rsidRPr="005266B8">
        <w:rPr>
          <w:rFonts w:ascii="Cambria" w:eastAsia="MS Mincho" w:hAnsi="Cambria"/>
          <w:color w:val="auto"/>
          <w:sz w:val="24"/>
          <w:szCs w:val="24"/>
          <w:lang w:val="en-US"/>
        </w:rPr>
        <w:t xml:space="preserve">, a Network which ‘aims to facilitate cooperation and collaboration between UK higher education institutions in support of persecuted and at-risk academics, and in the </w:t>
      </w:r>
      <w:proofErr w:type="spellStart"/>
      <w:r w:rsidRPr="005266B8">
        <w:rPr>
          <w:rFonts w:ascii="Cambria" w:eastAsia="MS Mincho" w:hAnsi="Cambria"/>
          <w:color w:val="auto"/>
          <w:sz w:val="24"/>
          <w:szCs w:val="24"/>
          <w:lang w:val="en-US"/>
        </w:rPr>
        <w:t>defence</w:t>
      </w:r>
      <w:proofErr w:type="spellEnd"/>
      <w:r w:rsidRPr="005266B8">
        <w:rPr>
          <w:rFonts w:ascii="Cambria" w:eastAsia="MS Mincho" w:hAnsi="Cambria"/>
          <w:color w:val="auto"/>
          <w:sz w:val="24"/>
          <w:szCs w:val="24"/>
          <w:lang w:val="en-US"/>
        </w:rPr>
        <w:t xml:space="preserve"> and promotion of academic and university freedoms worldwide.’</w:t>
      </w:r>
    </w:p>
    <w:p w:rsidR="005266B8" w:rsidRPr="005266B8" w:rsidRDefault="005266B8" w:rsidP="005266B8">
      <w:pPr>
        <w:widowControl/>
        <w:spacing w:after="0" w:line="240" w:lineRule="auto"/>
        <w:rPr>
          <w:rFonts w:ascii="Cambria" w:eastAsia="MS Mincho" w:hAnsi="Cambria"/>
          <w:color w:val="auto"/>
          <w:sz w:val="24"/>
          <w:szCs w:val="24"/>
          <w:lang w:val="en-US"/>
        </w:rPr>
      </w:pPr>
    </w:p>
    <w:p w:rsidR="005266B8" w:rsidRPr="005266B8" w:rsidRDefault="005266B8" w:rsidP="005266B8">
      <w:pPr>
        <w:widowControl/>
        <w:spacing w:after="0" w:line="240" w:lineRule="auto"/>
        <w:rPr>
          <w:rFonts w:ascii="Cambria" w:eastAsia="Times New Roman" w:hAnsi="Cambria"/>
          <w:color w:val="auto"/>
          <w:sz w:val="24"/>
          <w:szCs w:val="24"/>
          <w:lang w:val="en-US"/>
        </w:rPr>
      </w:pPr>
      <w:r w:rsidRPr="005266B8">
        <w:rPr>
          <w:rFonts w:ascii="Cambria" w:eastAsia="Times New Roman" w:hAnsi="Cambria"/>
          <w:color w:val="auto"/>
          <w:sz w:val="24"/>
          <w:szCs w:val="24"/>
          <w:lang w:val="en-US"/>
        </w:rPr>
        <w:t xml:space="preserve">As part of CARA, our university therefore commits, in principle, to actively consider hosting a persecuted or at-risk academic, with a fee waiver and possibly other support. We have three questions in this light. </w:t>
      </w:r>
    </w:p>
    <w:p w:rsidR="005266B8" w:rsidRPr="005266B8" w:rsidRDefault="005266B8" w:rsidP="005266B8">
      <w:pPr>
        <w:widowControl/>
        <w:spacing w:after="0" w:line="240" w:lineRule="auto"/>
        <w:ind w:firstLine="720"/>
        <w:rPr>
          <w:rFonts w:ascii="Cambria" w:eastAsia="Times New Roman" w:hAnsi="Cambria"/>
          <w:color w:val="auto"/>
          <w:sz w:val="24"/>
          <w:szCs w:val="24"/>
          <w:lang w:val="en-US"/>
        </w:rPr>
      </w:pPr>
      <w:r w:rsidRPr="005266B8">
        <w:rPr>
          <w:rFonts w:ascii="Cambria" w:eastAsia="Times New Roman" w:hAnsi="Cambria"/>
          <w:color w:val="auto"/>
          <w:sz w:val="24"/>
          <w:szCs w:val="24"/>
          <w:lang w:val="en-US"/>
        </w:rPr>
        <w:t xml:space="preserve">1. What specific support has so far been offered by our university? </w:t>
      </w:r>
    </w:p>
    <w:p w:rsidR="005266B8" w:rsidRPr="005266B8" w:rsidRDefault="005266B8" w:rsidP="005266B8">
      <w:pPr>
        <w:widowControl/>
        <w:spacing w:after="0" w:line="240" w:lineRule="auto"/>
        <w:ind w:firstLine="720"/>
        <w:rPr>
          <w:rFonts w:ascii="Cambria" w:eastAsia="Times New Roman" w:hAnsi="Cambria"/>
          <w:color w:val="auto"/>
          <w:sz w:val="24"/>
          <w:szCs w:val="24"/>
          <w:lang w:val="en-US"/>
        </w:rPr>
      </w:pPr>
      <w:r w:rsidRPr="005266B8">
        <w:rPr>
          <w:rFonts w:ascii="Cambria" w:eastAsia="Times New Roman" w:hAnsi="Cambria"/>
          <w:color w:val="auto"/>
          <w:sz w:val="24"/>
          <w:szCs w:val="24"/>
          <w:lang w:val="en-US"/>
        </w:rPr>
        <w:t xml:space="preserve">2. What specific future support does our university plan to provide? </w:t>
      </w:r>
    </w:p>
    <w:p w:rsidR="005266B8" w:rsidRPr="005266B8" w:rsidRDefault="005266B8" w:rsidP="005266B8">
      <w:pPr>
        <w:widowControl/>
        <w:spacing w:after="0" w:line="240" w:lineRule="auto"/>
        <w:ind w:left="720"/>
        <w:rPr>
          <w:rFonts w:ascii="Cambria" w:eastAsia="MS Mincho" w:hAnsi="Cambria"/>
          <w:color w:val="auto"/>
          <w:sz w:val="24"/>
          <w:szCs w:val="24"/>
          <w:lang w:val="en-US"/>
        </w:rPr>
      </w:pPr>
      <w:r w:rsidRPr="005266B8">
        <w:rPr>
          <w:rFonts w:ascii="Cambria" w:eastAsia="Times New Roman" w:hAnsi="Cambria"/>
          <w:color w:val="auto"/>
          <w:sz w:val="24"/>
          <w:szCs w:val="24"/>
          <w:lang w:val="en-US"/>
        </w:rPr>
        <w:t>3. How will our university take an active part in CARA to promote academic and university freedoms worldwide?</w:t>
      </w:r>
    </w:p>
    <w:p w:rsidR="005266B8" w:rsidRPr="005266B8" w:rsidRDefault="005266B8" w:rsidP="005266B8">
      <w:pPr>
        <w:widowControl/>
        <w:spacing w:after="0" w:line="240" w:lineRule="auto"/>
        <w:rPr>
          <w:rFonts w:ascii="Cambria" w:eastAsia="MS Mincho" w:hAnsi="Cambria"/>
          <w:color w:val="auto"/>
          <w:sz w:val="24"/>
          <w:szCs w:val="24"/>
          <w:lang w:val="en-US"/>
        </w:rPr>
      </w:pPr>
    </w:p>
    <w:p w:rsidR="005266B8" w:rsidRPr="005266B8" w:rsidRDefault="005266B8" w:rsidP="005266B8">
      <w:pPr>
        <w:widowControl/>
        <w:spacing w:after="0" w:line="240" w:lineRule="auto"/>
        <w:rPr>
          <w:rFonts w:ascii="Cambria" w:eastAsia="MS Mincho" w:hAnsi="Cambria"/>
          <w:color w:val="auto"/>
          <w:sz w:val="24"/>
          <w:szCs w:val="24"/>
          <w:lang w:val="en-US"/>
        </w:rPr>
      </w:pPr>
      <w:r w:rsidRPr="005266B8">
        <w:rPr>
          <w:rFonts w:ascii="Cambria" w:eastAsia="MS Mincho" w:hAnsi="Cambria"/>
          <w:color w:val="auto"/>
          <w:sz w:val="24"/>
          <w:szCs w:val="24"/>
          <w:lang w:val="en-US"/>
        </w:rPr>
        <w:t>2. Following on from the questions above, what specific plans does our university have in place in terms of offering material support including temporary fellowships, scholarships or visiting lectureships, to higher education professionals and students from Turkey who have been targeted by the Turkish government?</w:t>
      </w:r>
    </w:p>
    <w:p w:rsidR="005266B8" w:rsidRPr="005266B8" w:rsidRDefault="005266B8" w:rsidP="005266B8">
      <w:pPr>
        <w:widowControl/>
        <w:spacing w:after="0" w:line="240" w:lineRule="auto"/>
        <w:rPr>
          <w:rFonts w:ascii="Cambria" w:eastAsia="MS Mincho" w:hAnsi="Cambria"/>
          <w:color w:val="auto"/>
          <w:sz w:val="24"/>
          <w:szCs w:val="24"/>
          <w:lang w:val="en-US"/>
        </w:rPr>
      </w:pPr>
    </w:p>
    <w:p w:rsidR="005266B8" w:rsidRPr="005266B8" w:rsidRDefault="005266B8" w:rsidP="005266B8">
      <w:pPr>
        <w:widowControl/>
        <w:spacing w:after="0" w:line="240" w:lineRule="auto"/>
        <w:rPr>
          <w:rFonts w:ascii="Cambria" w:eastAsia="Times New Roman" w:hAnsi="Cambria"/>
          <w:bCs/>
          <w:color w:val="auto"/>
          <w:sz w:val="24"/>
          <w:szCs w:val="24"/>
          <w:lang w:val="en-US"/>
        </w:rPr>
      </w:pPr>
      <w:r w:rsidRPr="005266B8">
        <w:rPr>
          <w:rFonts w:ascii="Cambria" w:eastAsia="MS Mincho" w:hAnsi="Cambria"/>
          <w:color w:val="auto"/>
          <w:sz w:val="24"/>
          <w:szCs w:val="24"/>
          <w:lang w:val="en-US"/>
        </w:rPr>
        <w:t xml:space="preserve">University of Edinburgh, for example, has set up a </w:t>
      </w:r>
      <w:proofErr w:type="spellStart"/>
      <w:r w:rsidRPr="005266B8">
        <w:rPr>
          <w:rFonts w:ascii="Cambria" w:eastAsia="MS Mincho" w:hAnsi="Cambria"/>
          <w:color w:val="auto"/>
          <w:sz w:val="24"/>
          <w:szCs w:val="24"/>
          <w:lang w:val="en-US"/>
        </w:rPr>
        <w:t>programme</w:t>
      </w:r>
      <w:proofErr w:type="spellEnd"/>
      <w:r w:rsidRPr="005266B8">
        <w:rPr>
          <w:rFonts w:ascii="Cambria" w:eastAsia="MS Mincho" w:hAnsi="Cambria"/>
          <w:color w:val="auto"/>
          <w:sz w:val="24"/>
          <w:szCs w:val="24"/>
          <w:lang w:val="en-US"/>
        </w:rPr>
        <w:t xml:space="preserve"> called </w:t>
      </w:r>
      <w:hyperlink r:id="rId11" w:history="1">
        <w:r w:rsidRPr="005266B8">
          <w:rPr>
            <w:rFonts w:ascii="Cambria" w:eastAsia="MS Mincho" w:hAnsi="Cambria"/>
            <w:color w:val="0000FF"/>
            <w:sz w:val="24"/>
            <w:szCs w:val="24"/>
            <w:u w:val="single"/>
            <w:lang w:val="en-US"/>
          </w:rPr>
          <w:t xml:space="preserve">‘Visiting Postgraduate Research – Academics </w:t>
        </w:r>
        <w:proofErr w:type="gramStart"/>
        <w:r w:rsidRPr="005266B8">
          <w:rPr>
            <w:rFonts w:ascii="Cambria" w:eastAsia="MS Mincho" w:hAnsi="Cambria"/>
            <w:color w:val="0000FF"/>
            <w:sz w:val="24"/>
            <w:szCs w:val="24"/>
            <w:u w:val="single"/>
            <w:lang w:val="en-US"/>
          </w:rPr>
          <w:t>Beyond</w:t>
        </w:r>
        <w:proofErr w:type="gramEnd"/>
        <w:r w:rsidRPr="005266B8">
          <w:rPr>
            <w:rFonts w:ascii="Cambria" w:eastAsia="MS Mincho" w:hAnsi="Cambria"/>
            <w:color w:val="0000FF"/>
            <w:sz w:val="24"/>
            <w:szCs w:val="24"/>
            <w:u w:val="single"/>
            <w:lang w:val="en-US"/>
          </w:rPr>
          <w:t xml:space="preserve"> Borders’</w:t>
        </w:r>
      </w:hyperlink>
      <w:r w:rsidRPr="005266B8">
        <w:rPr>
          <w:rFonts w:ascii="Cambria" w:eastAsia="MS Mincho" w:hAnsi="Cambria"/>
          <w:color w:val="auto"/>
          <w:sz w:val="24"/>
          <w:szCs w:val="24"/>
          <w:lang w:val="en-US"/>
        </w:rPr>
        <w:t xml:space="preserve">. Alarmed with the repression of academics and PhD students in Turkey, the University of Edinburgh now provides </w:t>
      </w:r>
      <w:r w:rsidRPr="005266B8">
        <w:rPr>
          <w:rFonts w:ascii="Cambria" w:eastAsia="Times New Roman" w:hAnsi="Cambria"/>
          <w:color w:val="auto"/>
          <w:sz w:val="24"/>
          <w:szCs w:val="24"/>
          <w:lang w:val="en-US"/>
        </w:rPr>
        <w:t xml:space="preserve">the PhD student signatories in Turkey whose study have been interrupted with </w:t>
      </w:r>
      <w:r w:rsidRPr="005266B8">
        <w:rPr>
          <w:rFonts w:ascii="Cambria" w:eastAsia="Times New Roman" w:hAnsi="Cambria"/>
          <w:bCs/>
          <w:color w:val="auto"/>
          <w:sz w:val="24"/>
          <w:szCs w:val="24"/>
          <w:lang w:val="en-US"/>
        </w:rPr>
        <w:t xml:space="preserve">support at a distance, in the form of online mentoring, light supervision and digital library access. </w:t>
      </w:r>
    </w:p>
    <w:p w:rsidR="005266B8" w:rsidRPr="005266B8" w:rsidRDefault="005266B8" w:rsidP="005266B8">
      <w:pPr>
        <w:widowControl/>
        <w:spacing w:after="0" w:line="240" w:lineRule="auto"/>
        <w:rPr>
          <w:rFonts w:ascii="Cambria" w:eastAsia="Times New Roman" w:hAnsi="Cambria"/>
          <w:bCs/>
          <w:color w:val="auto"/>
          <w:sz w:val="24"/>
          <w:szCs w:val="24"/>
          <w:lang w:val="en-US"/>
        </w:rPr>
      </w:pPr>
    </w:p>
    <w:p w:rsidR="005266B8" w:rsidRPr="005266B8" w:rsidRDefault="005266B8" w:rsidP="005266B8">
      <w:pPr>
        <w:widowControl/>
        <w:spacing w:after="0" w:line="240" w:lineRule="auto"/>
        <w:rPr>
          <w:rFonts w:ascii="Cambria" w:eastAsia="Times New Roman" w:hAnsi="Cambria"/>
          <w:bCs/>
          <w:color w:val="auto"/>
          <w:sz w:val="24"/>
          <w:szCs w:val="24"/>
          <w:lang w:val="en-US"/>
        </w:rPr>
      </w:pPr>
      <w:r w:rsidRPr="005266B8">
        <w:rPr>
          <w:rFonts w:ascii="Cambria" w:eastAsia="Times New Roman" w:hAnsi="Cambria"/>
          <w:bCs/>
          <w:color w:val="auto"/>
          <w:sz w:val="24"/>
          <w:szCs w:val="24"/>
          <w:lang w:val="en-US"/>
        </w:rPr>
        <w:t xml:space="preserve">Is our university willing to support such a scheme or a scheme which is similar? </w:t>
      </w:r>
    </w:p>
    <w:p w:rsidR="005266B8" w:rsidRPr="005266B8" w:rsidRDefault="005266B8" w:rsidP="005266B8">
      <w:pPr>
        <w:widowControl/>
        <w:spacing w:after="0" w:line="240" w:lineRule="auto"/>
        <w:rPr>
          <w:rFonts w:ascii="Cambria" w:eastAsia="Times New Roman" w:hAnsi="Cambria"/>
          <w:bCs/>
          <w:color w:val="auto"/>
          <w:sz w:val="24"/>
          <w:szCs w:val="24"/>
          <w:lang w:val="en-US"/>
        </w:rPr>
      </w:pPr>
    </w:p>
    <w:p w:rsidR="005266B8" w:rsidRPr="005266B8" w:rsidRDefault="005266B8" w:rsidP="005266B8">
      <w:pPr>
        <w:widowControl/>
        <w:spacing w:after="0" w:line="240" w:lineRule="auto"/>
        <w:rPr>
          <w:rFonts w:ascii="Cambria" w:eastAsia="Times New Roman" w:hAnsi="Cambria"/>
          <w:bCs/>
          <w:color w:val="auto"/>
          <w:sz w:val="24"/>
          <w:szCs w:val="24"/>
          <w:lang w:val="en-US"/>
        </w:rPr>
      </w:pPr>
      <w:r w:rsidRPr="005266B8">
        <w:rPr>
          <w:rFonts w:ascii="Cambria" w:eastAsia="Times New Roman" w:hAnsi="Cambria"/>
          <w:bCs/>
          <w:color w:val="auto"/>
          <w:sz w:val="24"/>
          <w:szCs w:val="24"/>
          <w:lang w:val="en-US"/>
        </w:rPr>
        <w:t>3.  Academics for Peace – UK (</w:t>
      </w:r>
      <w:proofErr w:type="spellStart"/>
      <w:r w:rsidRPr="005266B8">
        <w:rPr>
          <w:rFonts w:ascii="Cambria" w:eastAsia="Times New Roman" w:hAnsi="Cambria"/>
          <w:bCs/>
          <w:color w:val="auto"/>
          <w:sz w:val="24"/>
          <w:szCs w:val="24"/>
          <w:lang w:val="en-US"/>
        </w:rPr>
        <w:t>AfP</w:t>
      </w:r>
      <w:proofErr w:type="spellEnd"/>
      <w:r w:rsidRPr="005266B8">
        <w:rPr>
          <w:rFonts w:ascii="Cambria" w:eastAsia="Times New Roman" w:hAnsi="Cambria"/>
          <w:bCs/>
          <w:color w:val="auto"/>
          <w:sz w:val="24"/>
          <w:szCs w:val="24"/>
          <w:lang w:val="en-US"/>
        </w:rPr>
        <w:t xml:space="preserve">-UK) is the solidarity </w:t>
      </w:r>
      <w:proofErr w:type="spellStart"/>
      <w:r w:rsidRPr="005266B8">
        <w:rPr>
          <w:rFonts w:ascii="Cambria" w:eastAsia="Times New Roman" w:hAnsi="Cambria"/>
          <w:bCs/>
          <w:color w:val="auto"/>
          <w:sz w:val="24"/>
          <w:szCs w:val="24"/>
          <w:lang w:val="en-US"/>
        </w:rPr>
        <w:t>organisation</w:t>
      </w:r>
      <w:proofErr w:type="spellEnd"/>
      <w:r w:rsidRPr="005266B8">
        <w:rPr>
          <w:rFonts w:ascii="Cambria" w:eastAsia="Times New Roman" w:hAnsi="Cambria"/>
          <w:bCs/>
          <w:color w:val="auto"/>
          <w:sz w:val="24"/>
          <w:szCs w:val="24"/>
          <w:lang w:val="en-US"/>
        </w:rPr>
        <w:t xml:space="preserve"> established in the UK to support the peace signatories who have been under attack in Turkey and beyond. In cooperation with their academic colleagues in Turkey, </w:t>
      </w:r>
      <w:proofErr w:type="spellStart"/>
      <w:r w:rsidRPr="005266B8">
        <w:rPr>
          <w:rFonts w:ascii="Cambria" w:eastAsia="Times New Roman" w:hAnsi="Cambria"/>
          <w:bCs/>
          <w:color w:val="auto"/>
          <w:sz w:val="24"/>
          <w:szCs w:val="24"/>
          <w:lang w:val="en-US"/>
        </w:rPr>
        <w:t>AfP</w:t>
      </w:r>
      <w:proofErr w:type="spellEnd"/>
      <w:r w:rsidRPr="005266B8">
        <w:rPr>
          <w:rFonts w:ascii="Cambria" w:eastAsia="Times New Roman" w:hAnsi="Cambria"/>
          <w:bCs/>
          <w:color w:val="auto"/>
          <w:sz w:val="24"/>
          <w:szCs w:val="24"/>
          <w:lang w:val="en-US"/>
        </w:rPr>
        <w:t xml:space="preserve"> have identified a number of higher education </w:t>
      </w:r>
      <w:proofErr w:type="spellStart"/>
      <w:r w:rsidRPr="005266B8">
        <w:rPr>
          <w:rFonts w:ascii="Cambria" w:eastAsia="Times New Roman" w:hAnsi="Cambria"/>
          <w:bCs/>
          <w:color w:val="auto"/>
          <w:sz w:val="24"/>
          <w:szCs w:val="24"/>
          <w:lang w:val="en-US"/>
        </w:rPr>
        <w:t>organisations</w:t>
      </w:r>
      <w:proofErr w:type="spellEnd"/>
      <w:r w:rsidRPr="005266B8">
        <w:rPr>
          <w:rFonts w:ascii="Cambria" w:eastAsia="Times New Roman" w:hAnsi="Cambria"/>
          <w:bCs/>
          <w:color w:val="auto"/>
          <w:sz w:val="24"/>
          <w:szCs w:val="24"/>
          <w:lang w:val="en-US"/>
        </w:rPr>
        <w:t xml:space="preserve"> in Turkey which have been responsible for taking action against academics, particularly</w:t>
      </w:r>
    </w:p>
    <w:p w:rsidR="005266B8" w:rsidRPr="005266B8" w:rsidRDefault="005266B8" w:rsidP="005266B8">
      <w:pPr>
        <w:widowControl/>
        <w:spacing w:after="0" w:line="240" w:lineRule="auto"/>
        <w:rPr>
          <w:rFonts w:ascii="Cambria" w:eastAsia="Times New Roman" w:hAnsi="Cambria"/>
          <w:bCs/>
          <w:color w:val="auto"/>
          <w:sz w:val="24"/>
          <w:szCs w:val="24"/>
          <w:lang w:val="en-US"/>
        </w:rPr>
      </w:pPr>
      <w:proofErr w:type="gramStart"/>
      <w:r w:rsidRPr="005266B8">
        <w:rPr>
          <w:rFonts w:ascii="Cambria" w:eastAsia="Times New Roman" w:hAnsi="Cambria"/>
          <w:bCs/>
          <w:color w:val="auto"/>
          <w:sz w:val="24"/>
          <w:szCs w:val="24"/>
          <w:lang w:val="en-US"/>
        </w:rPr>
        <w:t>the</w:t>
      </w:r>
      <w:proofErr w:type="gramEnd"/>
      <w:r w:rsidRPr="005266B8">
        <w:rPr>
          <w:rFonts w:ascii="Cambria" w:eastAsia="Times New Roman" w:hAnsi="Cambria"/>
          <w:bCs/>
          <w:color w:val="auto"/>
          <w:sz w:val="24"/>
          <w:szCs w:val="24"/>
          <w:lang w:val="en-US"/>
        </w:rPr>
        <w:t xml:space="preserve"> signatories of the peace petition. The key </w:t>
      </w:r>
      <w:proofErr w:type="spellStart"/>
      <w:r w:rsidRPr="005266B8">
        <w:rPr>
          <w:rFonts w:ascii="Cambria" w:eastAsia="Times New Roman" w:hAnsi="Cambria"/>
          <w:bCs/>
          <w:color w:val="auto"/>
          <w:sz w:val="24"/>
          <w:szCs w:val="24"/>
          <w:lang w:val="en-US"/>
        </w:rPr>
        <w:t>organisations</w:t>
      </w:r>
      <w:proofErr w:type="spellEnd"/>
      <w:r w:rsidRPr="005266B8">
        <w:rPr>
          <w:rFonts w:ascii="Cambria" w:eastAsia="Times New Roman" w:hAnsi="Cambria"/>
          <w:bCs/>
          <w:color w:val="auto"/>
          <w:sz w:val="24"/>
          <w:szCs w:val="24"/>
          <w:lang w:val="en-US"/>
        </w:rPr>
        <w:t xml:space="preserve"> include:</w:t>
      </w:r>
    </w:p>
    <w:p w:rsidR="005266B8" w:rsidRPr="005266B8" w:rsidRDefault="005266B8" w:rsidP="005266B8">
      <w:pPr>
        <w:widowControl/>
        <w:spacing w:after="0" w:line="240" w:lineRule="auto"/>
        <w:rPr>
          <w:rFonts w:ascii="Cambria" w:eastAsia="Times New Roman" w:hAnsi="Cambria"/>
          <w:bCs/>
          <w:color w:val="auto"/>
          <w:sz w:val="24"/>
          <w:szCs w:val="24"/>
          <w:lang w:val="en-US"/>
        </w:rPr>
      </w:pPr>
    </w:p>
    <w:p w:rsidR="005266B8" w:rsidRPr="005266B8" w:rsidRDefault="005266B8" w:rsidP="005266B8">
      <w:pPr>
        <w:widowControl/>
        <w:spacing w:after="0" w:line="240" w:lineRule="auto"/>
        <w:rPr>
          <w:rFonts w:ascii="Cambria" w:eastAsia="Times New Roman" w:hAnsi="Cambria"/>
          <w:bCs/>
          <w:color w:val="auto"/>
          <w:sz w:val="24"/>
          <w:szCs w:val="24"/>
          <w:lang w:val="en-US"/>
        </w:rPr>
      </w:pPr>
      <w:r w:rsidRPr="005266B8">
        <w:rPr>
          <w:rFonts w:ascii="Cambria" w:eastAsia="Times New Roman" w:hAnsi="Cambria"/>
          <w:bCs/>
          <w:color w:val="auto"/>
          <w:sz w:val="24"/>
          <w:szCs w:val="24"/>
          <w:lang w:val="en-US"/>
        </w:rPr>
        <w:t xml:space="preserve">The Scientific and Technological Research Council of </w:t>
      </w:r>
      <w:proofErr w:type="gramStart"/>
      <w:r w:rsidRPr="005266B8">
        <w:rPr>
          <w:rFonts w:ascii="Cambria" w:eastAsia="Times New Roman" w:hAnsi="Cambria"/>
          <w:bCs/>
          <w:color w:val="auto"/>
          <w:sz w:val="24"/>
          <w:szCs w:val="24"/>
          <w:lang w:val="en-US"/>
        </w:rPr>
        <w:t>Turkey  (</w:t>
      </w:r>
      <w:proofErr w:type="gramEnd"/>
      <w:r w:rsidRPr="005266B8">
        <w:rPr>
          <w:rFonts w:ascii="Cambria" w:eastAsia="MS Mincho" w:hAnsi="Cambria"/>
          <w:color w:val="auto"/>
          <w:sz w:val="24"/>
          <w:szCs w:val="24"/>
          <w:lang w:val="en-US"/>
        </w:rPr>
        <w:fldChar w:fldCharType="begin"/>
      </w:r>
      <w:r w:rsidRPr="005266B8">
        <w:rPr>
          <w:rFonts w:ascii="Cambria" w:eastAsia="MS Mincho" w:hAnsi="Cambria"/>
          <w:color w:val="auto"/>
          <w:sz w:val="24"/>
          <w:szCs w:val="24"/>
          <w:lang w:val="en-US"/>
        </w:rPr>
        <w:instrText xml:space="preserve"> HYPERLINK "http://www.tubitak.gov.tr/en" </w:instrText>
      </w:r>
      <w:r w:rsidRPr="005266B8">
        <w:rPr>
          <w:rFonts w:ascii="Cambria" w:eastAsia="MS Mincho" w:hAnsi="Cambria"/>
          <w:color w:val="auto"/>
          <w:sz w:val="24"/>
          <w:szCs w:val="24"/>
          <w:lang w:val="en-US"/>
        </w:rPr>
        <w:fldChar w:fldCharType="separate"/>
      </w:r>
      <w:r w:rsidRPr="005266B8">
        <w:rPr>
          <w:rFonts w:ascii="Cambria" w:eastAsia="Times New Roman" w:hAnsi="Cambria"/>
          <w:color w:val="0000FF"/>
          <w:sz w:val="24"/>
          <w:szCs w:val="24"/>
          <w:u w:val="single"/>
          <w:lang w:val="en-US"/>
        </w:rPr>
        <w:t>TÜBİTAK</w:t>
      </w:r>
      <w:r w:rsidRPr="005266B8">
        <w:rPr>
          <w:rFonts w:ascii="Cambria" w:eastAsia="Times New Roman" w:hAnsi="Cambria"/>
          <w:color w:val="0000FF"/>
          <w:sz w:val="24"/>
          <w:szCs w:val="24"/>
          <w:u w:val="single"/>
          <w:lang w:val="en-US"/>
        </w:rPr>
        <w:fldChar w:fldCharType="end"/>
      </w:r>
      <w:r w:rsidRPr="005266B8">
        <w:rPr>
          <w:rFonts w:ascii="Cambria" w:eastAsia="Times New Roman" w:hAnsi="Cambria"/>
          <w:bCs/>
          <w:color w:val="auto"/>
          <w:sz w:val="24"/>
          <w:szCs w:val="24"/>
          <w:lang w:val="en-US"/>
        </w:rPr>
        <w:t>)</w:t>
      </w:r>
      <w:r>
        <w:rPr>
          <w:rFonts w:ascii="Cambria" w:eastAsia="Times New Roman" w:hAnsi="Cambria"/>
          <w:bCs/>
          <w:color w:val="auto"/>
          <w:sz w:val="24"/>
          <w:szCs w:val="24"/>
          <w:lang w:val="en-US"/>
        </w:rPr>
        <w:t xml:space="preserve"> a</w:t>
      </w:r>
      <w:r w:rsidRPr="005266B8">
        <w:rPr>
          <w:rFonts w:ascii="Cambria" w:eastAsia="Times New Roman" w:hAnsi="Cambria"/>
          <w:bCs/>
          <w:color w:val="auto"/>
          <w:sz w:val="24"/>
          <w:szCs w:val="24"/>
          <w:lang w:val="en-US"/>
        </w:rPr>
        <w:t>nd</w:t>
      </w:r>
      <w:r>
        <w:rPr>
          <w:rFonts w:ascii="Cambria" w:eastAsia="Times New Roman" w:hAnsi="Cambria"/>
          <w:bCs/>
          <w:color w:val="auto"/>
          <w:sz w:val="24"/>
          <w:szCs w:val="24"/>
          <w:lang w:val="en-US"/>
        </w:rPr>
        <w:t xml:space="preserve"> </w:t>
      </w:r>
      <w:r w:rsidRPr="005266B8">
        <w:rPr>
          <w:rFonts w:ascii="Cambria" w:eastAsia="Times New Roman" w:hAnsi="Cambria"/>
          <w:bCs/>
          <w:color w:val="auto"/>
          <w:sz w:val="24"/>
          <w:szCs w:val="24"/>
          <w:lang w:val="en-US"/>
        </w:rPr>
        <w:t>The Council of Higher Education in Turkey(</w:t>
      </w:r>
      <w:hyperlink r:id="rId12" w:history="1">
        <w:r w:rsidRPr="005266B8">
          <w:rPr>
            <w:rFonts w:ascii="Cambria" w:eastAsia="Times New Roman" w:hAnsi="Cambria"/>
            <w:color w:val="0000FF"/>
            <w:sz w:val="24"/>
            <w:szCs w:val="24"/>
            <w:u w:val="single"/>
            <w:lang w:val="en-US"/>
          </w:rPr>
          <w:t>YÖK</w:t>
        </w:r>
      </w:hyperlink>
      <w:r w:rsidRPr="005266B8">
        <w:rPr>
          <w:rFonts w:ascii="Cambria" w:eastAsia="Times New Roman" w:hAnsi="Cambria"/>
          <w:bCs/>
          <w:color w:val="auto"/>
          <w:sz w:val="24"/>
          <w:szCs w:val="24"/>
          <w:lang w:val="en-US"/>
        </w:rPr>
        <w:t>)</w:t>
      </w:r>
    </w:p>
    <w:p w:rsidR="005266B8" w:rsidRPr="005266B8" w:rsidRDefault="005266B8" w:rsidP="005266B8">
      <w:pPr>
        <w:widowControl/>
        <w:spacing w:after="0" w:line="240" w:lineRule="auto"/>
        <w:rPr>
          <w:rFonts w:ascii="Cambria" w:eastAsia="Times New Roman" w:hAnsi="Cambria"/>
          <w:bCs/>
          <w:color w:val="auto"/>
          <w:sz w:val="24"/>
          <w:szCs w:val="24"/>
          <w:lang w:val="en-US"/>
        </w:rPr>
      </w:pPr>
    </w:p>
    <w:p w:rsidR="005266B8" w:rsidRPr="005266B8" w:rsidRDefault="005266B8" w:rsidP="005266B8">
      <w:pPr>
        <w:widowControl/>
        <w:spacing w:after="0" w:line="240" w:lineRule="auto"/>
        <w:rPr>
          <w:rFonts w:ascii="Cambria" w:eastAsia="Times New Roman" w:hAnsi="Cambria"/>
          <w:bCs/>
          <w:color w:val="auto"/>
          <w:sz w:val="24"/>
          <w:szCs w:val="24"/>
          <w:lang w:val="en-US"/>
        </w:rPr>
      </w:pPr>
      <w:proofErr w:type="spellStart"/>
      <w:proofErr w:type="gramStart"/>
      <w:r w:rsidRPr="005266B8">
        <w:rPr>
          <w:rFonts w:ascii="Cambria" w:eastAsia="Times New Roman" w:hAnsi="Cambria"/>
          <w:bCs/>
          <w:color w:val="auto"/>
          <w:sz w:val="24"/>
          <w:szCs w:val="24"/>
          <w:lang w:val="en-US"/>
        </w:rPr>
        <w:t>AfP</w:t>
      </w:r>
      <w:proofErr w:type="spellEnd"/>
      <w:proofErr w:type="gramEnd"/>
      <w:r w:rsidRPr="005266B8">
        <w:rPr>
          <w:rFonts w:ascii="Cambria" w:eastAsia="Times New Roman" w:hAnsi="Cambria"/>
          <w:bCs/>
          <w:color w:val="auto"/>
          <w:sz w:val="24"/>
          <w:szCs w:val="24"/>
          <w:lang w:val="en-US"/>
        </w:rPr>
        <w:t xml:space="preserve"> have also identified approximately </w:t>
      </w:r>
      <w:hyperlink r:id="rId13" w:history="1">
        <w:r w:rsidRPr="005266B8">
          <w:rPr>
            <w:rFonts w:ascii="Cambria" w:eastAsia="Times New Roman" w:hAnsi="Cambria"/>
            <w:color w:val="0000FF"/>
            <w:sz w:val="24"/>
            <w:szCs w:val="24"/>
            <w:u w:val="single"/>
            <w:lang w:val="en-US"/>
          </w:rPr>
          <w:t>115 universities</w:t>
        </w:r>
      </w:hyperlink>
      <w:r w:rsidRPr="005266B8">
        <w:rPr>
          <w:rFonts w:ascii="Cambria" w:eastAsia="Times New Roman" w:hAnsi="Cambria"/>
          <w:bCs/>
          <w:color w:val="auto"/>
          <w:sz w:val="24"/>
          <w:szCs w:val="24"/>
          <w:lang w:val="en-US"/>
        </w:rPr>
        <w:t xml:space="preserve"> in Turkey which have been </w:t>
      </w:r>
      <w:r w:rsidRPr="005266B8">
        <w:rPr>
          <w:rFonts w:ascii="Cambria" w:eastAsia="MS Mincho" w:hAnsi="Cambria"/>
          <w:color w:val="auto"/>
          <w:sz w:val="24"/>
          <w:szCs w:val="24"/>
          <w:lang w:val="en-US"/>
        </w:rPr>
        <w:t>involved in serious violations of academic freedom (e.g. encouraging staff or students to spy on and incriminate academics suspected of a critical stance towards the Turkish government).</w:t>
      </w:r>
      <w:r w:rsidRPr="005266B8">
        <w:rPr>
          <w:rFonts w:ascii="Cambria" w:eastAsia="Times New Roman" w:hAnsi="Cambria"/>
          <w:bCs/>
          <w:color w:val="auto"/>
          <w:sz w:val="24"/>
          <w:szCs w:val="24"/>
          <w:lang w:val="en-US"/>
        </w:rPr>
        <w:t xml:space="preserve"> </w:t>
      </w:r>
      <w:r w:rsidRPr="005266B8">
        <w:rPr>
          <w:rFonts w:ascii="Cambria" w:eastAsia="MS Mincho" w:hAnsi="Cambria"/>
          <w:color w:val="auto"/>
          <w:sz w:val="24"/>
          <w:szCs w:val="24"/>
          <w:lang w:val="en-US"/>
        </w:rPr>
        <w:t xml:space="preserve">As a result of these systematic attacks on academic freedom, </w:t>
      </w:r>
      <w:proofErr w:type="spellStart"/>
      <w:proofErr w:type="gramStart"/>
      <w:r w:rsidRPr="005266B8">
        <w:rPr>
          <w:rFonts w:ascii="Cambria" w:eastAsia="MS Mincho" w:hAnsi="Cambria"/>
          <w:color w:val="auto"/>
          <w:sz w:val="24"/>
          <w:szCs w:val="24"/>
          <w:lang w:val="en-US"/>
        </w:rPr>
        <w:t>AfP</w:t>
      </w:r>
      <w:proofErr w:type="spellEnd"/>
      <w:proofErr w:type="gramEnd"/>
      <w:r w:rsidRPr="005266B8">
        <w:rPr>
          <w:rFonts w:ascii="Cambria" w:eastAsia="MS Mincho" w:hAnsi="Cambria"/>
          <w:color w:val="auto"/>
          <w:sz w:val="24"/>
          <w:szCs w:val="24"/>
          <w:lang w:val="en-US"/>
        </w:rPr>
        <w:t xml:space="preserve"> are calling for UK universities to take a </w:t>
      </w:r>
      <w:r w:rsidRPr="005266B8">
        <w:rPr>
          <w:rFonts w:ascii="Cambria" w:eastAsia="MS Mincho" w:hAnsi="Cambria"/>
          <w:i/>
          <w:color w:val="auto"/>
          <w:sz w:val="24"/>
          <w:szCs w:val="24"/>
          <w:lang w:val="en-US"/>
        </w:rPr>
        <w:t>tougher approach</w:t>
      </w:r>
      <w:r w:rsidRPr="005266B8">
        <w:rPr>
          <w:rFonts w:ascii="Cambria" w:eastAsia="MS Mincho" w:hAnsi="Cambria"/>
          <w:color w:val="auto"/>
          <w:sz w:val="24"/>
          <w:szCs w:val="24"/>
          <w:lang w:val="en-US"/>
        </w:rPr>
        <w:t xml:space="preserve"> towards ‘complicit universities’ and higher education </w:t>
      </w:r>
      <w:proofErr w:type="spellStart"/>
      <w:r w:rsidRPr="005266B8">
        <w:rPr>
          <w:rFonts w:ascii="Cambria" w:eastAsia="MS Mincho" w:hAnsi="Cambria"/>
          <w:color w:val="auto"/>
          <w:sz w:val="24"/>
          <w:szCs w:val="24"/>
          <w:lang w:val="en-US"/>
        </w:rPr>
        <w:t>organisations</w:t>
      </w:r>
      <w:proofErr w:type="spellEnd"/>
      <w:r w:rsidRPr="005266B8">
        <w:rPr>
          <w:rFonts w:ascii="Cambria" w:eastAsia="MS Mincho" w:hAnsi="Cambria"/>
          <w:color w:val="auto"/>
          <w:sz w:val="24"/>
          <w:szCs w:val="24"/>
          <w:lang w:val="en-US"/>
        </w:rPr>
        <w:t xml:space="preserve"> in Turkey. Amongst other recommendations, the campaign calls for a moratorium on future collaborations with the Higher Education Council (YÖK) and the Scientific and Technological Research Council of Turkey (TÜBİTAK). </w:t>
      </w:r>
    </w:p>
    <w:p w:rsidR="005266B8" w:rsidRPr="005266B8" w:rsidRDefault="005266B8" w:rsidP="005266B8">
      <w:pPr>
        <w:widowControl/>
        <w:spacing w:after="0" w:line="240" w:lineRule="auto"/>
        <w:rPr>
          <w:rFonts w:ascii="Cambria" w:eastAsia="MS Mincho" w:hAnsi="Cambria"/>
          <w:color w:val="auto"/>
          <w:sz w:val="24"/>
          <w:szCs w:val="24"/>
          <w:lang w:val="en-US"/>
        </w:rPr>
      </w:pPr>
    </w:p>
    <w:p w:rsidR="005266B8" w:rsidRPr="005266B8" w:rsidRDefault="005266B8" w:rsidP="005266B8">
      <w:pPr>
        <w:widowControl/>
        <w:spacing w:after="0" w:line="240" w:lineRule="auto"/>
        <w:rPr>
          <w:rFonts w:ascii="Cambria" w:eastAsia="MS Mincho" w:hAnsi="Cambria"/>
          <w:color w:val="auto"/>
          <w:sz w:val="24"/>
          <w:szCs w:val="24"/>
          <w:lang w:val="en-US"/>
        </w:rPr>
      </w:pPr>
      <w:r w:rsidRPr="005266B8">
        <w:rPr>
          <w:rFonts w:ascii="Cambria" w:eastAsia="MS Mincho" w:hAnsi="Cambria"/>
          <w:color w:val="auto"/>
          <w:sz w:val="24"/>
          <w:szCs w:val="24"/>
          <w:lang w:val="en-US"/>
        </w:rPr>
        <w:t>We have 2 specific questions in this regard:</w:t>
      </w:r>
    </w:p>
    <w:p w:rsidR="005266B8" w:rsidRPr="005266B8" w:rsidRDefault="005266B8" w:rsidP="005266B8">
      <w:pPr>
        <w:widowControl/>
        <w:spacing w:after="0" w:line="240" w:lineRule="auto"/>
        <w:rPr>
          <w:rFonts w:ascii="Cambria" w:eastAsia="MS Mincho" w:hAnsi="Cambria"/>
          <w:color w:val="auto"/>
          <w:sz w:val="24"/>
          <w:szCs w:val="24"/>
          <w:lang w:val="en-US"/>
        </w:rPr>
      </w:pPr>
      <w:r w:rsidRPr="005266B8">
        <w:rPr>
          <w:rFonts w:ascii="Cambria" w:eastAsia="MS Mincho" w:hAnsi="Cambria"/>
          <w:color w:val="auto"/>
          <w:sz w:val="24"/>
          <w:szCs w:val="24"/>
          <w:lang w:val="en-US"/>
        </w:rPr>
        <w:t>1. Does our university have any existing collaborations with these institutions listed above, in particular (YOK) and (TUBITAK) or with any of the 115 universities?</w:t>
      </w:r>
    </w:p>
    <w:p w:rsidR="005266B8" w:rsidRPr="005266B8" w:rsidRDefault="005266B8" w:rsidP="005266B8">
      <w:pPr>
        <w:widowControl/>
        <w:spacing w:after="0" w:line="240" w:lineRule="auto"/>
        <w:rPr>
          <w:rFonts w:ascii="Cambria" w:eastAsia="MS Mincho" w:hAnsi="Cambria"/>
          <w:color w:val="auto"/>
          <w:sz w:val="24"/>
          <w:szCs w:val="24"/>
          <w:lang w:val="en-US"/>
        </w:rPr>
      </w:pPr>
      <w:r w:rsidRPr="005266B8">
        <w:rPr>
          <w:rFonts w:ascii="Cambria" w:eastAsia="MS Mincho" w:hAnsi="Cambria"/>
          <w:color w:val="auto"/>
          <w:sz w:val="24"/>
          <w:szCs w:val="24"/>
          <w:lang w:val="en-US"/>
        </w:rPr>
        <w:t>2. Has our university called, or is willing to call for a moratorium, on existing and any future collaborations with these two institutions and the aforementioned 115 universities?</w:t>
      </w:r>
    </w:p>
    <w:p w:rsidR="005266B8" w:rsidRPr="005266B8" w:rsidRDefault="005266B8" w:rsidP="005266B8">
      <w:pPr>
        <w:widowControl/>
        <w:spacing w:after="0" w:line="240" w:lineRule="auto"/>
        <w:rPr>
          <w:rFonts w:ascii="Cambria" w:eastAsia="MS Mincho" w:hAnsi="Cambria"/>
          <w:color w:val="auto"/>
          <w:sz w:val="24"/>
          <w:szCs w:val="24"/>
          <w:lang w:val="en-US"/>
        </w:rPr>
      </w:pPr>
    </w:p>
    <w:p w:rsidR="005266B8" w:rsidRPr="005266B8" w:rsidRDefault="005266B8" w:rsidP="005266B8">
      <w:pPr>
        <w:widowControl/>
        <w:spacing w:after="0" w:line="240" w:lineRule="auto"/>
        <w:rPr>
          <w:rFonts w:ascii="Cambria" w:eastAsia="MS Mincho" w:hAnsi="Cambria"/>
          <w:color w:val="auto"/>
          <w:sz w:val="24"/>
          <w:szCs w:val="24"/>
          <w:lang w:val="en-US"/>
        </w:rPr>
      </w:pPr>
      <w:r w:rsidRPr="005266B8">
        <w:rPr>
          <w:rFonts w:ascii="Cambria" w:eastAsia="Times New Roman" w:hAnsi="Cambria"/>
          <w:color w:val="auto"/>
          <w:sz w:val="24"/>
          <w:szCs w:val="24"/>
          <w:lang w:val="en-US"/>
        </w:rPr>
        <w:t>We strongly feel that the reputation of our university requires that we take precautions so as not to be complicit in turning a blind eye to attacks on academics in Turkey, especially by continuing to collaborate with complicit institutions and universities. Continued collaboration with higher education institutions that violate academic freedom in Turkey is highly likely to damage the reputation of our university – if not now, in the near future. Many UK (and other) universities are taking a stance. We therefore need to find out our university’s position. Thank you.</w:t>
      </w:r>
    </w:p>
    <w:p w:rsidR="005266B8" w:rsidRPr="005266B8" w:rsidRDefault="005266B8" w:rsidP="005266B8">
      <w:pPr>
        <w:widowControl/>
        <w:spacing w:after="0" w:line="240" w:lineRule="auto"/>
        <w:rPr>
          <w:rFonts w:ascii="Cambria" w:eastAsia="MS Mincho" w:hAnsi="Cambria"/>
          <w:color w:val="auto"/>
          <w:sz w:val="24"/>
          <w:szCs w:val="24"/>
          <w:lang w:val="en-US"/>
        </w:rPr>
      </w:pPr>
    </w:p>
    <w:p w:rsidR="005266B8" w:rsidRPr="005266B8" w:rsidRDefault="005266B8" w:rsidP="005266B8">
      <w:pPr>
        <w:widowControl/>
        <w:spacing w:after="0" w:line="240" w:lineRule="auto"/>
        <w:rPr>
          <w:rFonts w:ascii="Cambria" w:eastAsia="MS Mincho" w:hAnsi="Cambria"/>
          <w:color w:val="auto"/>
          <w:sz w:val="24"/>
          <w:szCs w:val="24"/>
          <w:lang w:val="en-US"/>
        </w:rPr>
      </w:pPr>
      <w:r w:rsidRPr="005266B8">
        <w:rPr>
          <w:rFonts w:ascii="Cambria" w:eastAsia="MS Mincho" w:hAnsi="Cambria"/>
          <w:color w:val="auto"/>
          <w:sz w:val="24"/>
          <w:szCs w:val="24"/>
          <w:lang w:val="en-US"/>
        </w:rPr>
        <w:t>We are looking forward to hearing from you.</w:t>
      </w:r>
    </w:p>
    <w:p w:rsidR="005266B8" w:rsidRPr="005266B8" w:rsidRDefault="005266B8" w:rsidP="005266B8">
      <w:pPr>
        <w:widowControl/>
        <w:spacing w:after="0" w:line="240" w:lineRule="auto"/>
        <w:rPr>
          <w:rFonts w:ascii="Cambria" w:eastAsia="MS Mincho" w:hAnsi="Cambria"/>
          <w:color w:val="auto"/>
          <w:sz w:val="24"/>
          <w:szCs w:val="24"/>
          <w:lang w:val="en-US"/>
        </w:rPr>
      </w:pPr>
    </w:p>
    <w:p w:rsidR="005266B8" w:rsidRPr="005266B8" w:rsidRDefault="005266B8" w:rsidP="005266B8">
      <w:pPr>
        <w:widowControl/>
        <w:spacing w:after="0" w:line="240" w:lineRule="auto"/>
        <w:rPr>
          <w:rFonts w:ascii="Cambria" w:eastAsia="MS Mincho" w:hAnsi="Cambria"/>
          <w:color w:val="auto"/>
          <w:sz w:val="24"/>
          <w:szCs w:val="24"/>
          <w:lang w:val="en-US"/>
        </w:rPr>
      </w:pPr>
    </w:p>
    <w:p w:rsidR="005266B8" w:rsidRPr="005266B8" w:rsidRDefault="005266B8" w:rsidP="005266B8">
      <w:pPr>
        <w:widowControl/>
        <w:spacing w:after="0" w:line="240" w:lineRule="auto"/>
        <w:rPr>
          <w:rFonts w:ascii="Cambria" w:eastAsia="MS Mincho" w:hAnsi="Cambria"/>
          <w:color w:val="auto"/>
          <w:sz w:val="24"/>
          <w:szCs w:val="24"/>
          <w:lang w:val="en-US"/>
        </w:rPr>
      </w:pPr>
      <w:r w:rsidRPr="005266B8">
        <w:rPr>
          <w:rFonts w:ascii="Cambria" w:eastAsia="MS Mincho" w:hAnsi="Cambria"/>
          <w:color w:val="auto"/>
          <w:sz w:val="24"/>
          <w:szCs w:val="24"/>
          <w:lang w:val="en-US"/>
        </w:rPr>
        <w:t xml:space="preserve">UCU </w:t>
      </w:r>
      <w:r w:rsidRPr="005266B8">
        <w:rPr>
          <w:rFonts w:ascii="Cambria" w:eastAsia="MS Mincho" w:hAnsi="Cambria"/>
          <w:color w:val="auto"/>
          <w:sz w:val="24"/>
          <w:szCs w:val="24"/>
          <w:highlight w:val="yellow"/>
          <w:lang w:val="en-US"/>
        </w:rPr>
        <w:t>XXX</w:t>
      </w:r>
      <w:r w:rsidRPr="005266B8">
        <w:rPr>
          <w:rFonts w:ascii="Cambria" w:eastAsia="MS Mincho" w:hAnsi="Cambria"/>
          <w:color w:val="auto"/>
          <w:sz w:val="24"/>
          <w:szCs w:val="24"/>
          <w:lang w:val="en-US"/>
        </w:rPr>
        <w:t xml:space="preserve"> branch</w:t>
      </w:r>
    </w:p>
    <w:p w:rsidR="005266B8" w:rsidRDefault="005266B8" w:rsidP="009A1A28"/>
    <w:sectPr w:rsidR="005266B8" w:rsidSect="00B44E04">
      <w:footerReference w:type="default" r:id="rId14"/>
      <w:pgSz w:w="11907" w:h="16839" w:code="9"/>
      <w:pgMar w:top="851" w:right="1021" w:bottom="1021" w:left="1134" w:header="34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B8" w:rsidRDefault="005266B8" w:rsidP="0003353A">
      <w:pPr>
        <w:spacing w:after="0" w:line="240" w:lineRule="auto"/>
      </w:pPr>
      <w:r>
        <w:separator/>
      </w:r>
    </w:p>
  </w:endnote>
  <w:endnote w:type="continuationSeparator" w:id="0">
    <w:p w:rsidR="005266B8" w:rsidRDefault="005266B8" w:rsidP="000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030"/>
      <w:docPartObj>
        <w:docPartGallery w:val="Page Numbers (Bottom of Page)"/>
        <w:docPartUnique/>
      </w:docPartObj>
    </w:sdtPr>
    <w:sdtEndPr/>
    <w:sdtContent>
      <w:p w:rsidR="00164195" w:rsidRDefault="00164195" w:rsidP="00164195">
        <w:pPr>
          <w:pStyle w:val="Footer"/>
          <w:jc w:val="right"/>
        </w:pPr>
        <w:r>
          <w:t xml:space="preserve">   </w:t>
        </w:r>
        <w:proofErr w:type="gramStart"/>
        <w:r>
          <w:t>page</w:t>
        </w:r>
        <w:proofErr w:type="gramEnd"/>
        <w:r>
          <w:t xml:space="preserve"> </w:t>
        </w:r>
        <w:r w:rsidR="005266B8">
          <w:fldChar w:fldCharType="begin"/>
        </w:r>
        <w:r w:rsidR="005266B8">
          <w:instrText xml:space="preserve"> PAGE   \* MERGEFORMAT </w:instrText>
        </w:r>
        <w:r w:rsidR="005266B8">
          <w:fldChar w:fldCharType="separate"/>
        </w:r>
        <w:r w:rsidR="005266B8">
          <w:rPr>
            <w:noProof/>
          </w:rPr>
          <w:t>1</w:t>
        </w:r>
        <w:r w:rsidR="005266B8">
          <w:rPr>
            <w:noProof/>
          </w:rPr>
          <w:fldChar w:fldCharType="end"/>
        </w:r>
      </w:p>
    </w:sdtContent>
  </w:sdt>
  <w:p w:rsidR="00164195" w:rsidRDefault="001641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B8" w:rsidRDefault="005266B8" w:rsidP="0003353A">
      <w:pPr>
        <w:spacing w:after="0" w:line="240" w:lineRule="auto"/>
      </w:pPr>
      <w:r>
        <w:separator/>
      </w:r>
    </w:p>
  </w:footnote>
  <w:footnote w:type="continuationSeparator" w:id="0">
    <w:p w:rsidR="005266B8" w:rsidRDefault="005266B8" w:rsidP="00033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 w15:restartNumberingAfterBreak="0">
    <w:nsid w:val="232E5672"/>
    <w:multiLevelType w:val="multilevel"/>
    <w:tmpl w:val="D728D798"/>
    <w:name w:val="UCU level 2"/>
    <w:numStyleLink w:val="Newtestlist"/>
  </w:abstractNum>
  <w:abstractNum w:abstractNumId="2"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3" w15:restartNumberingAfterBreak="0">
    <w:nsid w:val="32B456B4"/>
    <w:multiLevelType w:val="multilevel"/>
    <w:tmpl w:val="D728D798"/>
    <w:numStyleLink w:val="Newtestlist"/>
  </w:abstractNum>
  <w:abstractNum w:abstractNumId="4" w15:restartNumberingAfterBreak="0">
    <w:nsid w:val="331603F2"/>
    <w:multiLevelType w:val="multilevel"/>
    <w:tmpl w:val="D728D798"/>
    <w:numStyleLink w:val="Newtestlist"/>
  </w:abstractNum>
  <w:abstractNum w:abstractNumId="5"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8"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9" w15:restartNumberingAfterBreak="0">
    <w:nsid w:val="56070FCA"/>
    <w:multiLevelType w:val="multilevel"/>
    <w:tmpl w:val="D728D798"/>
    <w:numStyleLink w:val="Newtestlist"/>
  </w:abstractNum>
  <w:abstractNum w:abstractNumId="10" w15:restartNumberingAfterBreak="0">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num w:numId="1">
    <w:abstractNumId w:val="6"/>
  </w:num>
  <w:num w:numId="2">
    <w:abstractNumId w:val="2"/>
  </w:num>
  <w:num w:numId="3">
    <w:abstractNumId w:val="5"/>
  </w:num>
  <w:num w:numId="4">
    <w:abstractNumId w:val="7"/>
  </w:num>
  <w:num w:numId="5">
    <w:abstractNumId w:val="10"/>
  </w:num>
  <w:num w:numId="6">
    <w:abstractNumId w:val="4"/>
  </w:num>
  <w:num w:numId="7">
    <w:abstractNumId w:val="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B8"/>
    <w:rsid w:val="00023916"/>
    <w:rsid w:val="0003353A"/>
    <w:rsid w:val="00047F0F"/>
    <w:rsid w:val="00060763"/>
    <w:rsid w:val="00082FC6"/>
    <w:rsid w:val="000857D9"/>
    <w:rsid w:val="00091B9B"/>
    <w:rsid w:val="00093FE7"/>
    <w:rsid w:val="000C09A2"/>
    <w:rsid w:val="00147CFA"/>
    <w:rsid w:val="00156CC5"/>
    <w:rsid w:val="001636D9"/>
    <w:rsid w:val="00164195"/>
    <w:rsid w:val="001E70F6"/>
    <w:rsid w:val="001F3133"/>
    <w:rsid w:val="00224C93"/>
    <w:rsid w:val="0024760A"/>
    <w:rsid w:val="00264B84"/>
    <w:rsid w:val="00266DA3"/>
    <w:rsid w:val="002E3BE0"/>
    <w:rsid w:val="002E70CC"/>
    <w:rsid w:val="00300DBD"/>
    <w:rsid w:val="00322C3E"/>
    <w:rsid w:val="00334160"/>
    <w:rsid w:val="00343681"/>
    <w:rsid w:val="003523C2"/>
    <w:rsid w:val="003549CC"/>
    <w:rsid w:val="0036703D"/>
    <w:rsid w:val="00372582"/>
    <w:rsid w:val="003801E0"/>
    <w:rsid w:val="003F171E"/>
    <w:rsid w:val="00417083"/>
    <w:rsid w:val="0044503E"/>
    <w:rsid w:val="00461521"/>
    <w:rsid w:val="00480048"/>
    <w:rsid w:val="00494918"/>
    <w:rsid w:val="004951FA"/>
    <w:rsid w:val="004B07E2"/>
    <w:rsid w:val="004D6220"/>
    <w:rsid w:val="004F2C96"/>
    <w:rsid w:val="00512449"/>
    <w:rsid w:val="005266B8"/>
    <w:rsid w:val="00530E38"/>
    <w:rsid w:val="005564CA"/>
    <w:rsid w:val="0056057F"/>
    <w:rsid w:val="00577715"/>
    <w:rsid w:val="005B7592"/>
    <w:rsid w:val="005E5453"/>
    <w:rsid w:val="0062690D"/>
    <w:rsid w:val="0065006F"/>
    <w:rsid w:val="00696A64"/>
    <w:rsid w:val="006B17F7"/>
    <w:rsid w:val="006F0B0A"/>
    <w:rsid w:val="00706280"/>
    <w:rsid w:val="00714465"/>
    <w:rsid w:val="00720B8E"/>
    <w:rsid w:val="007313B6"/>
    <w:rsid w:val="0073726A"/>
    <w:rsid w:val="007B74E0"/>
    <w:rsid w:val="007C1D19"/>
    <w:rsid w:val="007C7E4B"/>
    <w:rsid w:val="007D750C"/>
    <w:rsid w:val="007E1410"/>
    <w:rsid w:val="008149CC"/>
    <w:rsid w:val="00824625"/>
    <w:rsid w:val="008271EE"/>
    <w:rsid w:val="00856C71"/>
    <w:rsid w:val="00862652"/>
    <w:rsid w:val="00873322"/>
    <w:rsid w:val="008C4FD2"/>
    <w:rsid w:val="008C7FD7"/>
    <w:rsid w:val="008E42A7"/>
    <w:rsid w:val="008F1FDF"/>
    <w:rsid w:val="0090010A"/>
    <w:rsid w:val="00944CAB"/>
    <w:rsid w:val="00956435"/>
    <w:rsid w:val="009645EB"/>
    <w:rsid w:val="009710C0"/>
    <w:rsid w:val="0097187F"/>
    <w:rsid w:val="009805D7"/>
    <w:rsid w:val="009920C6"/>
    <w:rsid w:val="009A1A28"/>
    <w:rsid w:val="009C0843"/>
    <w:rsid w:val="009C31FA"/>
    <w:rsid w:val="00A47A43"/>
    <w:rsid w:val="00A667A7"/>
    <w:rsid w:val="00A71C97"/>
    <w:rsid w:val="00A724B0"/>
    <w:rsid w:val="00A83B2B"/>
    <w:rsid w:val="00A90D87"/>
    <w:rsid w:val="00A92960"/>
    <w:rsid w:val="00AA3212"/>
    <w:rsid w:val="00AF1778"/>
    <w:rsid w:val="00B00A0A"/>
    <w:rsid w:val="00B10604"/>
    <w:rsid w:val="00B15713"/>
    <w:rsid w:val="00B44E04"/>
    <w:rsid w:val="00B51160"/>
    <w:rsid w:val="00B65363"/>
    <w:rsid w:val="00B80FD9"/>
    <w:rsid w:val="00B81CF4"/>
    <w:rsid w:val="00B841A1"/>
    <w:rsid w:val="00B877F7"/>
    <w:rsid w:val="00BD600E"/>
    <w:rsid w:val="00BF0313"/>
    <w:rsid w:val="00BF22AB"/>
    <w:rsid w:val="00C47D07"/>
    <w:rsid w:val="00C549BF"/>
    <w:rsid w:val="00C65E26"/>
    <w:rsid w:val="00C706FB"/>
    <w:rsid w:val="00C96343"/>
    <w:rsid w:val="00CD00DB"/>
    <w:rsid w:val="00CD1296"/>
    <w:rsid w:val="00CD188A"/>
    <w:rsid w:val="00CF3688"/>
    <w:rsid w:val="00D0733D"/>
    <w:rsid w:val="00D11649"/>
    <w:rsid w:val="00D204CD"/>
    <w:rsid w:val="00D24DC4"/>
    <w:rsid w:val="00D35667"/>
    <w:rsid w:val="00D86FFF"/>
    <w:rsid w:val="00DD4B0F"/>
    <w:rsid w:val="00DE0244"/>
    <w:rsid w:val="00DE6EA2"/>
    <w:rsid w:val="00E024EF"/>
    <w:rsid w:val="00E02E91"/>
    <w:rsid w:val="00E2085B"/>
    <w:rsid w:val="00E44F84"/>
    <w:rsid w:val="00E5265D"/>
    <w:rsid w:val="00E5388A"/>
    <w:rsid w:val="00E80CA0"/>
    <w:rsid w:val="00E94D90"/>
    <w:rsid w:val="00EA636E"/>
    <w:rsid w:val="00EC11B3"/>
    <w:rsid w:val="00EE0157"/>
    <w:rsid w:val="00F46202"/>
    <w:rsid w:val="00F55CC5"/>
    <w:rsid w:val="00F675DC"/>
    <w:rsid w:val="00FB0DD1"/>
    <w:rsid w:val="00FB51CA"/>
    <w:rsid w:val="00FD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A895D-DDCB-4E7E-ACC2-D880B74B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CU basic text"/>
    <w:qFormat/>
    <w:rsid w:val="00530E38"/>
    <w:pPr>
      <w:widowControl w:val="0"/>
      <w:spacing w:after="160" w:line="288" w:lineRule="auto"/>
    </w:pPr>
    <w:rPr>
      <w:sz w:val="22"/>
      <w:szCs w:val="22"/>
      <w:lang w:val="en-GB"/>
    </w:rPr>
  </w:style>
  <w:style w:type="paragraph" w:styleId="Heading1">
    <w:name w:val="heading 1"/>
    <w:aliases w:val="UCU 16pt line heading 1"/>
    <w:basedOn w:val="Normal"/>
    <w:next w:val="Normal"/>
    <w:link w:val="Heading1Char"/>
    <w:uiPriority w:val="9"/>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rPr>
      <w:rFonts w:ascii="Courier New" w:hAnsi="Courier New" w:cs="Courier New"/>
      <w:szCs w:val="20"/>
    </w:rPr>
  </w:style>
  <w:style w:type="character" w:customStyle="1" w:styleId="PlainTextChar">
    <w:name w:val="Plain Text Char"/>
    <w:basedOn w:val="DefaultParagraphFont"/>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semiHidden/>
    <w:unhideWhenUsed/>
    <w:rsid w:val="00033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https://www.theguardian.com/commentisfree/2017/dec/11/erdogan-turkey-academics-terrorism-violence-kurdish-people%20/2017/dec/11/erdogan-turkey-academics-terrorism-violence-kurdish-people" TargetMode="External"/><Relationship Id="rId13" Type="http://schemas.openxmlformats.org/officeDocument/2006/relationships/hyperlink" Target="https://academicboycottofturkey.wordpress.com/complicit-universit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k.gov.tr/en/web/cohe/homep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laimedinburgh.wordpress.com/2017/12/15/visiting-postgraduate-research-academics-beyond-bord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ra.ngo/who-we-are/partners-and-supporters/cara-scholars-at-risk-uk-universities-network/" TargetMode="External"/><Relationship Id="rId4" Type="http://schemas.openxmlformats.org/officeDocument/2006/relationships/webSettings" Target="webSettings.xml"/><Relationship Id="rId9" Type="http://schemas.openxmlformats.org/officeDocument/2006/relationships/hyperlink" Target="http://www.tandfonline.com/doi/full/10.1080/17539153.2017.1326559"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cu.org.uk\public\UCUCOM\UCU%20Templates\2012%20Templates\Blank%20with%20logo%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with logo colour</Template>
  <TotalTime>2</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Rob Copeland</cp:lastModifiedBy>
  <cp:revision>1</cp:revision>
  <cp:lastPrinted>2012-01-11T16:13:00Z</cp:lastPrinted>
  <dcterms:created xsi:type="dcterms:W3CDTF">2018-01-17T12:48:00Z</dcterms:created>
  <dcterms:modified xsi:type="dcterms:W3CDTF">2018-01-17T12:50:00Z</dcterms:modified>
</cp:coreProperties>
</file>